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CF0C" w14:textId="519AED1F" w:rsidR="00C6268F" w:rsidRPr="00C6268F" w:rsidRDefault="00C6268F" w:rsidP="00C6268F">
      <w:pPr>
        <w:spacing w:before="240" w:after="240"/>
        <w:rPr>
          <w:rFonts w:ascii="Arial" w:hAnsi="Arial" w:cs="Arial"/>
          <w:b/>
          <w:color w:val="2272AC"/>
          <w:sz w:val="20"/>
          <w:szCs w:val="20"/>
          <w:lang w:val="en-US"/>
        </w:rPr>
      </w:pPr>
      <w:r w:rsidRPr="00C6268F">
        <w:rPr>
          <w:rFonts w:ascii="Arial" w:hAnsi="Arial" w:cs="Arial"/>
          <w:b/>
          <w:color w:val="2272AC"/>
          <w:sz w:val="20"/>
          <w:szCs w:val="20"/>
          <w:lang w:val="en-US"/>
        </w:rPr>
        <w:t xml:space="preserve">Clarifications to the Request of Qualification </w:t>
      </w:r>
      <w:bookmarkStart w:id="0" w:name="_GoBack"/>
      <w:bookmarkEnd w:id="0"/>
      <w:r w:rsidRPr="00C6268F">
        <w:rPr>
          <w:rFonts w:ascii="Arial" w:hAnsi="Arial" w:cs="Arial"/>
          <w:b/>
          <w:color w:val="2272AC"/>
          <w:sz w:val="20"/>
          <w:szCs w:val="20"/>
          <w:lang w:val="en-US"/>
        </w:rPr>
        <w:t xml:space="preserve">document, published on 12 March 2024 </w:t>
      </w:r>
    </w:p>
    <w:p w14:paraId="7647B4DA" w14:textId="73306F68" w:rsidR="008B60E3" w:rsidRPr="00C6268F" w:rsidRDefault="00A636FE">
      <w:pPr>
        <w:rPr>
          <w:rFonts w:ascii="Arial" w:hAnsi="Arial" w:cs="Arial"/>
          <w:b/>
          <w:color w:val="2272AC"/>
          <w:sz w:val="20"/>
          <w:szCs w:val="20"/>
          <w:lang w:val="en-US"/>
        </w:rPr>
      </w:pPr>
      <w:r>
        <w:rPr>
          <w:rFonts w:ascii="Arial" w:hAnsi="Arial" w:cs="Arial"/>
          <w:b/>
          <w:color w:val="2272AC"/>
          <w:sz w:val="20"/>
          <w:szCs w:val="20"/>
          <w:lang w:val="en-US"/>
        </w:rPr>
        <w:t>Date: 27</w:t>
      </w:r>
      <w:r w:rsidR="00C6268F" w:rsidRPr="00C6268F">
        <w:rPr>
          <w:rFonts w:ascii="Arial" w:hAnsi="Arial" w:cs="Arial"/>
          <w:b/>
          <w:color w:val="2272AC"/>
          <w:sz w:val="20"/>
          <w:szCs w:val="20"/>
          <w:lang w:val="en-US"/>
        </w:rPr>
        <w:t xml:space="preserve"> March 2024</w:t>
      </w:r>
    </w:p>
    <w:p w14:paraId="306149AB" w14:textId="5A81DFE6" w:rsidR="00C6268F" w:rsidRPr="00C6268F" w:rsidRDefault="00C6268F">
      <w:pPr>
        <w:rPr>
          <w:rFonts w:ascii="Arial" w:hAnsi="Arial" w:cs="Arial"/>
          <w:b/>
          <w:color w:val="2272AC"/>
          <w:sz w:val="20"/>
          <w:szCs w:val="20"/>
          <w:lang w:val="en-US"/>
        </w:rPr>
      </w:pPr>
    </w:p>
    <w:p w14:paraId="122C3196" w14:textId="6590025A" w:rsidR="00C6268F" w:rsidRPr="00C6268F" w:rsidRDefault="00C6268F" w:rsidP="00C6268F">
      <w:pPr>
        <w:pStyle w:val="ListParagraph"/>
        <w:numPr>
          <w:ilvl w:val="0"/>
          <w:numId w:val="3"/>
        </w:numPr>
        <w:ind w:left="360"/>
        <w:rPr>
          <w:rFonts w:ascii="Arial" w:hAnsi="Arial" w:cs="Arial"/>
          <w:sz w:val="20"/>
          <w:szCs w:val="20"/>
        </w:rPr>
      </w:pPr>
      <w:r w:rsidRPr="00C6268F">
        <w:rPr>
          <w:rFonts w:ascii="Arial" w:hAnsi="Arial" w:cs="Arial"/>
          <w:sz w:val="20"/>
          <w:szCs w:val="20"/>
        </w:rPr>
        <w:t>Annex No 6, chapter “1.1. Resident Legal Entities (Not Part of a Consortium)”, clause (e) is clarified in the following way:</w:t>
      </w:r>
    </w:p>
    <w:p w14:paraId="41A20FAD" w14:textId="62252D8D" w:rsidR="00C6268F" w:rsidRPr="00C6268F" w:rsidRDefault="00C6268F" w:rsidP="00C6268F">
      <w:pPr>
        <w:pStyle w:val="ListParagraph"/>
        <w:ind w:left="360"/>
        <w:rPr>
          <w:rFonts w:ascii="Arial" w:hAnsi="Arial" w:cs="Arial"/>
          <w:sz w:val="20"/>
          <w:szCs w:val="20"/>
        </w:rPr>
      </w:pPr>
      <w:r w:rsidRPr="00C6268F">
        <w:rPr>
          <w:rFonts w:ascii="Arial" w:hAnsi="Arial" w:cs="Arial"/>
          <w:sz w:val="20"/>
          <w:szCs w:val="20"/>
        </w:rPr>
        <w:t>“Certificate from the Agency of State Register of the Legal Entities of Armenia issued not earlier than thirty (30) days before submission of the Qualification Bid.”</w:t>
      </w:r>
    </w:p>
    <w:p w14:paraId="014026A9" w14:textId="70757895" w:rsidR="00C6268F" w:rsidRPr="00C6268F" w:rsidRDefault="00C6268F" w:rsidP="00C6268F">
      <w:pPr>
        <w:ind w:left="-360" w:firstLine="60"/>
        <w:rPr>
          <w:rFonts w:ascii="Arial" w:hAnsi="Arial" w:cs="Arial"/>
          <w:sz w:val="20"/>
          <w:szCs w:val="20"/>
        </w:rPr>
      </w:pPr>
    </w:p>
    <w:p w14:paraId="40DC2516" w14:textId="77777777" w:rsidR="00C6268F" w:rsidRPr="00C6268F" w:rsidRDefault="00C6268F" w:rsidP="00C6268F">
      <w:pPr>
        <w:pStyle w:val="ListParagraph"/>
        <w:numPr>
          <w:ilvl w:val="0"/>
          <w:numId w:val="3"/>
        </w:numPr>
        <w:ind w:left="360"/>
        <w:rPr>
          <w:rFonts w:ascii="Arial" w:hAnsi="Arial" w:cs="Arial"/>
          <w:sz w:val="20"/>
          <w:szCs w:val="20"/>
        </w:rPr>
      </w:pPr>
      <w:r w:rsidRPr="00C6268F">
        <w:rPr>
          <w:rFonts w:ascii="Arial" w:hAnsi="Arial" w:cs="Arial"/>
          <w:sz w:val="20"/>
          <w:szCs w:val="20"/>
        </w:rPr>
        <w:t>Annex No 6, chapter “1.2. Non-resident Legal Entities (Not Part of a Consortium), clause (f) is clarified in the following way:</w:t>
      </w:r>
    </w:p>
    <w:p w14:paraId="1517C776" w14:textId="595E8F5F" w:rsidR="00C6268F" w:rsidRPr="00C6268F" w:rsidRDefault="00C6268F" w:rsidP="00C6268F">
      <w:pPr>
        <w:pStyle w:val="ListParagraph"/>
        <w:ind w:left="360"/>
        <w:rPr>
          <w:rFonts w:ascii="Arial" w:hAnsi="Arial" w:cs="Arial"/>
          <w:sz w:val="20"/>
          <w:szCs w:val="20"/>
        </w:rPr>
      </w:pPr>
      <w:r w:rsidRPr="00C6268F">
        <w:rPr>
          <w:rFonts w:ascii="Arial" w:hAnsi="Arial" w:cs="Arial"/>
          <w:sz w:val="20"/>
          <w:szCs w:val="20"/>
        </w:rPr>
        <w:t>“Copy of the incorporation certificate or equivalent document (e.g., extract from the business or trade register) issued not earlier than thirty (30) days before submission of the Qualification Bid, in any of the Official Languages. If this document is originally prepared (issued) in a foreign language (other than any of the Official Languages), its relevant copy shall be provided in the original language together with the translation into any of the Official Languages.”</w:t>
      </w:r>
    </w:p>
    <w:p w14:paraId="4C4BB7D5" w14:textId="7E89C17B" w:rsidR="00C6268F" w:rsidRPr="00C6268F" w:rsidRDefault="00C6268F" w:rsidP="00C6268F">
      <w:pPr>
        <w:ind w:left="-360" w:firstLine="60"/>
        <w:rPr>
          <w:rFonts w:ascii="Arial" w:hAnsi="Arial" w:cs="Arial"/>
          <w:sz w:val="20"/>
          <w:szCs w:val="20"/>
        </w:rPr>
      </w:pPr>
    </w:p>
    <w:p w14:paraId="0FD8540A" w14:textId="0F9CB1F8" w:rsidR="00C6268F" w:rsidRPr="00C6268F" w:rsidRDefault="00C6268F" w:rsidP="00C6268F">
      <w:pPr>
        <w:pStyle w:val="ListParagraph"/>
        <w:numPr>
          <w:ilvl w:val="0"/>
          <w:numId w:val="3"/>
        </w:numPr>
        <w:ind w:left="360"/>
        <w:rPr>
          <w:rFonts w:ascii="Arial" w:hAnsi="Arial" w:cs="Arial"/>
          <w:sz w:val="20"/>
          <w:szCs w:val="20"/>
        </w:rPr>
      </w:pPr>
      <w:r w:rsidRPr="00C6268F">
        <w:rPr>
          <w:rFonts w:ascii="Arial" w:hAnsi="Arial" w:cs="Arial"/>
          <w:sz w:val="20"/>
          <w:szCs w:val="20"/>
        </w:rPr>
        <w:t>Annex No 6, chapter “1.3. Consortia” clauses (e) and (h) are clarified in the following way”</w:t>
      </w:r>
    </w:p>
    <w:p w14:paraId="791CC3C5" w14:textId="47C5AF3D" w:rsidR="00C6268F" w:rsidRPr="00C6268F" w:rsidRDefault="00C6268F" w:rsidP="00C6268F">
      <w:pPr>
        <w:pStyle w:val="ListParagraph"/>
        <w:ind w:left="360"/>
        <w:rPr>
          <w:rFonts w:ascii="Arial" w:hAnsi="Arial" w:cs="Arial"/>
          <w:sz w:val="20"/>
          <w:szCs w:val="20"/>
        </w:rPr>
      </w:pPr>
      <w:r w:rsidRPr="00C6268F">
        <w:rPr>
          <w:rFonts w:ascii="Arial" w:hAnsi="Arial" w:cs="Arial"/>
          <w:sz w:val="20"/>
          <w:szCs w:val="20"/>
        </w:rPr>
        <w:t xml:space="preserve">“(e) Copy of the incorporation certificate or equivalent document (e.g., extract from the business or trade register) of each non-resident Consortium Member issued not earlier than thirty (30) days before submission of the Qualification Bid, in any of the Official Languages. If this document is originally prepared (issued) in a foreign language (other than any of the Official Languages), its relevant copy shall be provided in the original language together with the translation into any of </w:t>
      </w:r>
      <w:proofErr w:type="spellStart"/>
      <w:r w:rsidRPr="00C6268F">
        <w:rPr>
          <w:rFonts w:ascii="Arial" w:hAnsi="Arial" w:cs="Arial"/>
          <w:sz w:val="20"/>
          <w:szCs w:val="20"/>
        </w:rPr>
        <w:t>theOfficial</w:t>
      </w:r>
      <w:proofErr w:type="spellEnd"/>
      <w:r w:rsidRPr="00C6268F">
        <w:rPr>
          <w:rFonts w:ascii="Arial" w:hAnsi="Arial" w:cs="Arial"/>
          <w:sz w:val="20"/>
          <w:szCs w:val="20"/>
        </w:rPr>
        <w:t xml:space="preserve"> Languages.” and</w:t>
      </w:r>
    </w:p>
    <w:p w14:paraId="5F8F48FC" w14:textId="03683D93" w:rsidR="00C6268F" w:rsidRPr="00C6268F" w:rsidRDefault="00C6268F" w:rsidP="00C6268F">
      <w:pPr>
        <w:pStyle w:val="ListParagraph"/>
        <w:numPr>
          <w:ilvl w:val="0"/>
          <w:numId w:val="3"/>
        </w:numPr>
        <w:ind w:left="360"/>
        <w:rPr>
          <w:rFonts w:ascii="Arial" w:hAnsi="Arial" w:cs="Arial"/>
          <w:sz w:val="20"/>
          <w:szCs w:val="20"/>
        </w:rPr>
      </w:pPr>
      <w:r w:rsidRPr="00C6268F">
        <w:rPr>
          <w:rFonts w:ascii="Arial" w:hAnsi="Arial" w:cs="Arial"/>
          <w:sz w:val="20"/>
          <w:szCs w:val="20"/>
        </w:rPr>
        <w:t>“(h) Certificate from the Agency of State Register of the Legal Entities of Armenia of each resident Consortium Member issued not earlier than thirty (30) days before submission of the Qualification Bid.”</w:t>
      </w:r>
    </w:p>
    <w:p w14:paraId="0BD861E0" w14:textId="3E4AC7F4" w:rsidR="00C6268F" w:rsidRPr="00C6268F" w:rsidRDefault="00C6268F" w:rsidP="00C6268F">
      <w:pPr>
        <w:pStyle w:val="Paragrafobase"/>
        <w:numPr>
          <w:ilvl w:val="0"/>
          <w:numId w:val="3"/>
        </w:numPr>
        <w:spacing w:before="120" w:after="120" w:line="259" w:lineRule="auto"/>
        <w:ind w:left="360"/>
        <w:rPr>
          <w:rFonts w:ascii="Arial" w:hAnsi="Arial" w:cs="Arial"/>
          <w:sz w:val="20"/>
          <w:szCs w:val="20"/>
        </w:rPr>
      </w:pPr>
      <w:r w:rsidRPr="00C6268F">
        <w:rPr>
          <w:rFonts w:ascii="Arial" w:hAnsi="Arial" w:cs="Arial"/>
          <w:color w:val="auto"/>
          <w:sz w:val="20"/>
          <w:szCs w:val="20"/>
          <w:lang w:val="en-GB"/>
        </w:rPr>
        <w:t>Annex No 6</w:t>
      </w:r>
      <w:r w:rsidRPr="00C6268F">
        <w:rPr>
          <w:rFonts w:ascii="Arial" w:hAnsi="Arial" w:cs="Arial"/>
          <w:sz w:val="20"/>
          <w:szCs w:val="20"/>
        </w:rPr>
        <w:t>, chapter “1.3. Consortia” , clause (j) is clarified in the following way:</w:t>
      </w:r>
    </w:p>
    <w:p w14:paraId="072F75B7" w14:textId="77777777" w:rsidR="00C6268F" w:rsidRPr="00C6268F" w:rsidRDefault="00C6268F" w:rsidP="00C6268F">
      <w:pPr>
        <w:pStyle w:val="Annex-Paragraph"/>
        <w:numPr>
          <w:ilvl w:val="0"/>
          <w:numId w:val="0"/>
        </w:numPr>
        <w:ind w:left="360"/>
        <w:rPr>
          <w:rFonts w:cs="Arial"/>
          <w:szCs w:val="20"/>
        </w:rPr>
      </w:pPr>
      <w:r w:rsidRPr="00C6268F">
        <w:rPr>
          <w:rFonts w:cs="Arial"/>
          <w:szCs w:val="20"/>
        </w:rPr>
        <w:t>“Original of the consortium agreement in any of the Official Languages or duly notarized copy of the consortium agreement in any of the Official Languages. The consortium agreement must contain (at the minimum) the following provisions:</w:t>
      </w:r>
    </w:p>
    <w:p w14:paraId="42C3AED1" w14:textId="77777777" w:rsidR="00C6268F" w:rsidRPr="00C6268F" w:rsidRDefault="00C6268F" w:rsidP="00C6268F">
      <w:pPr>
        <w:pStyle w:val="AnnexList2"/>
        <w:ind w:left="720"/>
        <w:rPr>
          <w:rFonts w:cs="Arial"/>
          <w:szCs w:val="20"/>
          <w:lang w:val="en-US"/>
        </w:rPr>
      </w:pPr>
      <w:r w:rsidRPr="00C6268F">
        <w:rPr>
          <w:rFonts w:cs="Arial"/>
          <w:szCs w:val="20"/>
          <w:lang w:val="en-US"/>
        </w:rPr>
        <w:t>indication of the Lead Member and the Lead Member’s authority to represent and irrevocably bind all Consortium Members in all matters related to the Selection Procedure, including the submission of the Qualification Bid on behalf of the Consortium;</w:t>
      </w:r>
    </w:p>
    <w:p w14:paraId="681670C0" w14:textId="77777777" w:rsidR="00C6268F" w:rsidRPr="00C6268F" w:rsidRDefault="00C6268F" w:rsidP="00C6268F">
      <w:pPr>
        <w:pStyle w:val="AnnexList2"/>
        <w:ind w:left="720"/>
        <w:rPr>
          <w:rFonts w:cs="Arial"/>
          <w:szCs w:val="20"/>
          <w:lang w:val="en-US"/>
        </w:rPr>
      </w:pPr>
      <w:r w:rsidRPr="00C6268F">
        <w:rPr>
          <w:rFonts w:cs="Arial"/>
          <w:szCs w:val="20"/>
          <w:lang w:val="en-US"/>
        </w:rPr>
        <w:t>indication of other Consortium Members and undertaking of each Consortium Member to jointly cooperate with other Consortium Members with regard to the Consortium’s participation in the Selection Procedure and, should the Consortium become the winner of the Selection Procedure, to jointly implement the Project and comply with the terms and conditions of the Agreement;</w:t>
      </w:r>
    </w:p>
    <w:p w14:paraId="3FF05403" w14:textId="3E7803CE" w:rsidR="00C6268F" w:rsidRPr="00C6268F" w:rsidRDefault="00C6268F" w:rsidP="00C6268F">
      <w:pPr>
        <w:pStyle w:val="AnnexList2"/>
        <w:ind w:left="720"/>
        <w:rPr>
          <w:rFonts w:cs="Arial"/>
          <w:szCs w:val="20"/>
          <w:lang w:val="en-US"/>
        </w:rPr>
      </w:pPr>
      <w:r w:rsidRPr="00C6268F">
        <w:rPr>
          <w:rFonts w:cs="Arial"/>
          <w:szCs w:val="20"/>
          <w:lang w:val="en-US"/>
        </w:rPr>
        <w:t>the shareholding of each Consortium Member in the future Project Company, subject to the requirements set in Clauses</w:t>
      </w:r>
      <w:r>
        <w:rPr>
          <w:rFonts w:cs="Arial"/>
          <w:szCs w:val="20"/>
          <w:lang w:val="en-US"/>
        </w:rPr>
        <w:t xml:space="preserve"> 2.1.3</w:t>
      </w:r>
      <w:r w:rsidRPr="00C6268F">
        <w:rPr>
          <w:rFonts w:cs="Arial"/>
          <w:szCs w:val="20"/>
          <w:lang w:val="en-US"/>
        </w:rPr>
        <w:t xml:space="preserve"> and </w:t>
      </w:r>
      <w:r>
        <w:rPr>
          <w:rFonts w:cs="Arial"/>
          <w:szCs w:val="20"/>
          <w:lang w:val="en-US"/>
        </w:rPr>
        <w:t>2.4</w:t>
      </w:r>
      <w:r w:rsidRPr="00C6268F">
        <w:rPr>
          <w:rFonts w:cs="Arial"/>
          <w:szCs w:val="20"/>
          <w:lang w:val="en-US"/>
        </w:rPr>
        <w:t xml:space="preserve"> of the RFQ;”</w:t>
      </w:r>
    </w:p>
    <w:p w14:paraId="0691362F" w14:textId="77777777" w:rsidR="00C6268F" w:rsidRPr="00C6268F" w:rsidRDefault="00C6268F" w:rsidP="00C6268F">
      <w:pPr>
        <w:rPr>
          <w:rFonts w:ascii="Arial" w:hAnsi="Arial" w:cs="Arial"/>
          <w:sz w:val="20"/>
          <w:szCs w:val="20"/>
        </w:rPr>
      </w:pPr>
    </w:p>
    <w:p w14:paraId="7243EDBD" w14:textId="77777777" w:rsidR="00C6268F" w:rsidRPr="00C6268F" w:rsidRDefault="00C6268F">
      <w:pPr>
        <w:rPr>
          <w:rFonts w:ascii="Arial" w:hAnsi="Arial" w:cs="Arial"/>
          <w:sz w:val="20"/>
          <w:szCs w:val="20"/>
        </w:rPr>
      </w:pPr>
    </w:p>
    <w:sectPr w:rsidR="00C6268F" w:rsidRPr="00C626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F Square Sans Pro">
    <w:altName w:val="Calibri"/>
    <w:charset w:val="00"/>
    <w:family w:val="auto"/>
    <w:pitch w:val="variable"/>
    <w:sig w:usb0="A00002BF" w:usb1="5000E0FB" w:usb2="00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D7A"/>
    <w:multiLevelType w:val="hybridMultilevel"/>
    <w:tmpl w:val="B6848F2A"/>
    <w:lvl w:ilvl="0" w:tplc="D69A6EAC">
      <w:start w:val="1"/>
      <w:numFmt w:val="bullet"/>
      <w:pStyle w:val="AnnexList2"/>
      <w:lvlText w:val="–"/>
      <w:lvlJc w:val="left"/>
      <w:pPr>
        <w:ind w:left="360" w:hanging="360"/>
      </w:pPr>
      <w:rPr>
        <w:rFonts w:ascii="Arial" w:hAnsi="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D5A4119"/>
    <w:multiLevelType w:val="hybridMultilevel"/>
    <w:tmpl w:val="165652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4CC28B0"/>
    <w:multiLevelType w:val="hybridMultilevel"/>
    <w:tmpl w:val="CA72F30A"/>
    <w:lvl w:ilvl="0" w:tplc="73E82EAC">
      <w:start w:val="1"/>
      <w:numFmt w:val="lowerLetter"/>
      <w:pStyle w:val="Annex-Paragraph"/>
      <w:lvlText w:val="(%1)"/>
      <w:lvlJc w:val="left"/>
      <w:pPr>
        <w:ind w:left="1080" w:hanging="360"/>
      </w:pPr>
      <w:rPr>
        <w:b w:val="0"/>
        <w:bCs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8F"/>
    <w:rsid w:val="008B60E3"/>
    <w:rsid w:val="00A636FE"/>
    <w:rsid w:val="00C62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e PART"/>
    <w:qFormat/>
    <w:rsid w:val="00C6268F"/>
    <w:pPr>
      <w:spacing w:after="0" w:line="240" w:lineRule="auto"/>
    </w:pPr>
    <w:rPr>
      <w:rFonts w:ascii="PF Square Sans Pro" w:eastAsia="Times New Roman" w:hAnsi="PF Square Sans Pro"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C6268F"/>
    <w:pPr>
      <w:autoSpaceDE w:val="0"/>
      <w:autoSpaceDN w:val="0"/>
      <w:adjustRightInd w:val="0"/>
      <w:spacing w:line="288" w:lineRule="auto"/>
      <w:textAlignment w:val="center"/>
    </w:pPr>
    <w:rPr>
      <w:rFonts w:ascii="Minion Pro" w:hAnsi="Minion Pro" w:cs="Minion Pro"/>
      <w:color w:val="000000"/>
      <w:lang w:val="it-IT"/>
    </w:rPr>
  </w:style>
  <w:style w:type="paragraph" w:customStyle="1" w:styleId="Annex-Paragraph">
    <w:name w:val="Annex - Paragraph"/>
    <w:basedOn w:val="Normal"/>
    <w:link w:val="Annex-ParagraphChar"/>
    <w:qFormat/>
    <w:rsid w:val="00C6268F"/>
    <w:pPr>
      <w:numPr>
        <w:numId w:val="1"/>
      </w:numPr>
      <w:spacing w:before="120" w:after="120"/>
    </w:pPr>
    <w:rPr>
      <w:rFonts w:ascii="Arial" w:eastAsiaTheme="majorEastAsia" w:hAnsi="Arial" w:cstheme="majorBidi"/>
      <w:bCs/>
      <w:color w:val="000000" w:themeColor="text1"/>
      <w:sz w:val="20"/>
      <w:szCs w:val="26"/>
      <w:lang w:val="en-US"/>
    </w:rPr>
  </w:style>
  <w:style w:type="paragraph" w:customStyle="1" w:styleId="AnnexList2">
    <w:name w:val="Annex List 2"/>
    <w:basedOn w:val="Normal"/>
    <w:link w:val="AnnexList2Char"/>
    <w:qFormat/>
    <w:rsid w:val="00C6268F"/>
    <w:pPr>
      <w:numPr>
        <w:numId w:val="2"/>
      </w:numPr>
      <w:spacing w:before="120" w:after="120"/>
    </w:pPr>
    <w:rPr>
      <w:rFonts w:ascii="Arial" w:eastAsiaTheme="majorEastAsia" w:hAnsi="Arial" w:cstheme="majorBidi"/>
      <w:bCs/>
      <w:color w:val="000000" w:themeColor="text1"/>
      <w:sz w:val="20"/>
      <w:szCs w:val="26"/>
    </w:rPr>
  </w:style>
  <w:style w:type="character" w:customStyle="1" w:styleId="Annex-ParagraphChar">
    <w:name w:val="Annex - Paragraph Char"/>
    <w:basedOn w:val="DefaultParagraphFont"/>
    <w:link w:val="Annex-Paragraph"/>
    <w:rsid w:val="00C6268F"/>
    <w:rPr>
      <w:rFonts w:ascii="Arial" w:eastAsiaTheme="majorEastAsia" w:hAnsi="Arial" w:cstheme="majorBidi"/>
      <w:bCs/>
      <w:color w:val="000000" w:themeColor="text1"/>
      <w:sz w:val="20"/>
      <w:szCs w:val="26"/>
      <w:lang w:val="en-US"/>
    </w:rPr>
  </w:style>
  <w:style w:type="character" w:customStyle="1" w:styleId="AnnexList2Char">
    <w:name w:val="Annex List 2 Char"/>
    <w:basedOn w:val="DefaultParagraphFont"/>
    <w:link w:val="AnnexList2"/>
    <w:rsid w:val="00C6268F"/>
    <w:rPr>
      <w:rFonts w:ascii="Arial" w:eastAsiaTheme="majorEastAsia" w:hAnsi="Arial" w:cstheme="majorBidi"/>
      <w:bCs/>
      <w:color w:val="000000" w:themeColor="text1"/>
      <w:sz w:val="20"/>
      <w:szCs w:val="26"/>
      <w:lang w:val="en-GB"/>
    </w:rPr>
  </w:style>
  <w:style w:type="paragraph" w:styleId="ListParagraph">
    <w:name w:val="List Paragraph"/>
    <w:basedOn w:val="Normal"/>
    <w:uiPriority w:val="34"/>
    <w:qFormat/>
    <w:rsid w:val="00C62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e PART"/>
    <w:qFormat/>
    <w:rsid w:val="00C6268F"/>
    <w:pPr>
      <w:spacing w:after="0" w:line="240" w:lineRule="auto"/>
    </w:pPr>
    <w:rPr>
      <w:rFonts w:ascii="PF Square Sans Pro" w:eastAsia="Times New Roman" w:hAnsi="PF Square Sans Pro"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C6268F"/>
    <w:pPr>
      <w:autoSpaceDE w:val="0"/>
      <w:autoSpaceDN w:val="0"/>
      <w:adjustRightInd w:val="0"/>
      <w:spacing w:line="288" w:lineRule="auto"/>
      <w:textAlignment w:val="center"/>
    </w:pPr>
    <w:rPr>
      <w:rFonts w:ascii="Minion Pro" w:hAnsi="Minion Pro" w:cs="Minion Pro"/>
      <w:color w:val="000000"/>
      <w:lang w:val="it-IT"/>
    </w:rPr>
  </w:style>
  <w:style w:type="paragraph" w:customStyle="1" w:styleId="Annex-Paragraph">
    <w:name w:val="Annex - Paragraph"/>
    <w:basedOn w:val="Normal"/>
    <w:link w:val="Annex-ParagraphChar"/>
    <w:qFormat/>
    <w:rsid w:val="00C6268F"/>
    <w:pPr>
      <w:numPr>
        <w:numId w:val="1"/>
      </w:numPr>
      <w:spacing w:before="120" w:after="120"/>
    </w:pPr>
    <w:rPr>
      <w:rFonts w:ascii="Arial" w:eastAsiaTheme="majorEastAsia" w:hAnsi="Arial" w:cstheme="majorBidi"/>
      <w:bCs/>
      <w:color w:val="000000" w:themeColor="text1"/>
      <w:sz w:val="20"/>
      <w:szCs w:val="26"/>
      <w:lang w:val="en-US"/>
    </w:rPr>
  </w:style>
  <w:style w:type="paragraph" w:customStyle="1" w:styleId="AnnexList2">
    <w:name w:val="Annex List 2"/>
    <w:basedOn w:val="Normal"/>
    <w:link w:val="AnnexList2Char"/>
    <w:qFormat/>
    <w:rsid w:val="00C6268F"/>
    <w:pPr>
      <w:numPr>
        <w:numId w:val="2"/>
      </w:numPr>
      <w:spacing w:before="120" w:after="120"/>
    </w:pPr>
    <w:rPr>
      <w:rFonts w:ascii="Arial" w:eastAsiaTheme="majorEastAsia" w:hAnsi="Arial" w:cstheme="majorBidi"/>
      <w:bCs/>
      <w:color w:val="000000" w:themeColor="text1"/>
      <w:sz w:val="20"/>
      <w:szCs w:val="26"/>
    </w:rPr>
  </w:style>
  <w:style w:type="character" w:customStyle="1" w:styleId="Annex-ParagraphChar">
    <w:name w:val="Annex - Paragraph Char"/>
    <w:basedOn w:val="DefaultParagraphFont"/>
    <w:link w:val="Annex-Paragraph"/>
    <w:rsid w:val="00C6268F"/>
    <w:rPr>
      <w:rFonts w:ascii="Arial" w:eastAsiaTheme="majorEastAsia" w:hAnsi="Arial" w:cstheme="majorBidi"/>
      <w:bCs/>
      <w:color w:val="000000" w:themeColor="text1"/>
      <w:sz w:val="20"/>
      <w:szCs w:val="26"/>
      <w:lang w:val="en-US"/>
    </w:rPr>
  </w:style>
  <w:style w:type="character" w:customStyle="1" w:styleId="AnnexList2Char">
    <w:name w:val="Annex List 2 Char"/>
    <w:basedOn w:val="DefaultParagraphFont"/>
    <w:link w:val="AnnexList2"/>
    <w:rsid w:val="00C6268F"/>
    <w:rPr>
      <w:rFonts w:ascii="Arial" w:eastAsiaTheme="majorEastAsia" w:hAnsi="Arial" w:cstheme="majorBidi"/>
      <w:bCs/>
      <w:color w:val="000000" w:themeColor="text1"/>
      <w:sz w:val="20"/>
      <w:szCs w:val="26"/>
      <w:lang w:val="en-GB"/>
    </w:rPr>
  </w:style>
  <w:style w:type="paragraph" w:styleId="ListParagraph">
    <w:name w:val="List Paragraph"/>
    <w:basedOn w:val="Normal"/>
    <w:uiPriority w:val="34"/>
    <w:qFormat/>
    <w:rsid w:val="00C6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Petruskeviciute</dc:creator>
  <cp:keywords/>
  <dc:description/>
  <cp:lastModifiedBy>Angelina K. Chilingaryan</cp:lastModifiedBy>
  <cp:revision>2</cp:revision>
  <dcterms:created xsi:type="dcterms:W3CDTF">2024-03-27T12:06:00Z</dcterms:created>
  <dcterms:modified xsi:type="dcterms:W3CDTF">2024-03-27T14:39:00Z</dcterms:modified>
</cp:coreProperties>
</file>