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7"/>
        <w:gridCol w:w="2263"/>
        <w:gridCol w:w="3572"/>
        <w:gridCol w:w="1028"/>
        <w:gridCol w:w="993"/>
        <w:gridCol w:w="1210"/>
        <w:gridCol w:w="977"/>
        <w:gridCol w:w="1945"/>
        <w:gridCol w:w="1953"/>
      </w:tblGrid>
      <w:tr w:rsidR="006518A7" w:rsidRPr="00AD0677" w14:paraId="71CBC9E6" w14:textId="77777777" w:rsidTr="006518A7">
        <w:trPr>
          <w:trHeight w:val="300"/>
          <w:tblHeader/>
        </w:trPr>
        <w:tc>
          <w:tcPr>
            <w:tcW w:w="210" w:type="pct"/>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5E525F27" w14:textId="77777777" w:rsidR="006518A7" w:rsidRPr="00950AB2" w:rsidRDefault="006518A7" w:rsidP="00C64796">
            <w:pPr>
              <w:jc w:val="center"/>
              <w:rPr>
                <w:rFonts w:cs="Arial"/>
                <w:b/>
                <w:color w:val="FFFFFF"/>
                <w:sz w:val="18"/>
                <w:szCs w:val="18"/>
                <w:lang w:val="en-GB"/>
              </w:rPr>
            </w:pPr>
            <w:r w:rsidRPr="00950AB2">
              <w:rPr>
                <w:rFonts w:cs="Arial"/>
                <w:b/>
                <w:color w:val="FFFFFF"/>
                <w:sz w:val="18"/>
                <w:szCs w:val="18"/>
                <w:lang w:val="en-GB"/>
              </w:rPr>
              <w:t>No</w:t>
            </w:r>
          </w:p>
        </w:tc>
        <w:tc>
          <w:tcPr>
            <w:tcW w:w="777" w:type="pct"/>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19194292" w14:textId="77777777" w:rsidR="006518A7" w:rsidRPr="00950AB2" w:rsidRDefault="006518A7" w:rsidP="00C64796">
            <w:pPr>
              <w:jc w:val="left"/>
              <w:rPr>
                <w:rFonts w:cs="Arial"/>
                <w:b/>
                <w:color w:val="FFFFFF"/>
                <w:sz w:val="18"/>
                <w:szCs w:val="18"/>
                <w:lang w:val="en-GB"/>
              </w:rPr>
            </w:pPr>
            <w:r w:rsidRPr="00950AB2">
              <w:rPr>
                <w:rFonts w:cs="Arial"/>
                <w:b/>
                <w:color w:val="FFFFFF"/>
                <w:sz w:val="18"/>
                <w:szCs w:val="18"/>
                <w:lang w:val="en-GB"/>
              </w:rPr>
              <w:t>Risk</w:t>
            </w:r>
          </w:p>
        </w:tc>
        <w:tc>
          <w:tcPr>
            <w:tcW w:w="1223" w:type="pct"/>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91BA7FD" w14:textId="77777777" w:rsidR="006518A7" w:rsidRPr="00950AB2" w:rsidRDefault="006518A7" w:rsidP="00C64796">
            <w:pPr>
              <w:jc w:val="left"/>
              <w:rPr>
                <w:rFonts w:cs="Arial"/>
                <w:b/>
                <w:color w:val="FFFFFF"/>
                <w:sz w:val="18"/>
                <w:szCs w:val="18"/>
                <w:lang w:val="en-GB"/>
              </w:rPr>
            </w:pPr>
            <w:r w:rsidRPr="00950AB2">
              <w:rPr>
                <w:rFonts w:cs="Arial"/>
                <w:b/>
                <w:color w:val="FFFFFF"/>
                <w:sz w:val="18"/>
                <w:szCs w:val="18"/>
                <w:lang w:val="en-GB"/>
              </w:rPr>
              <w:t>Risk Description</w:t>
            </w:r>
          </w:p>
        </w:tc>
        <w:tc>
          <w:tcPr>
            <w:tcW w:w="700" w:type="pct"/>
            <w:gridSpan w:val="2"/>
            <w:tcBorders>
              <w:top w:val="single" w:sz="4" w:space="0" w:color="auto"/>
              <w:left w:val="nil"/>
              <w:bottom w:val="single" w:sz="4" w:space="0" w:color="auto"/>
              <w:right w:val="single" w:sz="4" w:space="0" w:color="auto"/>
            </w:tcBorders>
            <w:shd w:val="clear" w:color="000000" w:fill="808080"/>
            <w:vAlign w:val="center"/>
            <w:hideMark/>
          </w:tcPr>
          <w:p w14:paraId="350883A8" w14:textId="77777777" w:rsidR="006518A7" w:rsidRPr="00950AB2" w:rsidRDefault="006518A7" w:rsidP="00C64796">
            <w:pPr>
              <w:jc w:val="center"/>
              <w:rPr>
                <w:rFonts w:cs="Arial"/>
                <w:b/>
                <w:color w:val="FFFFFF"/>
                <w:sz w:val="18"/>
                <w:szCs w:val="18"/>
                <w:lang w:val="en-GB"/>
              </w:rPr>
            </w:pPr>
            <w:r w:rsidRPr="00950AB2">
              <w:rPr>
                <w:rFonts w:cs="Arial"/>
                <w:b/>
                <w:color w:val="FFFFFF"/>
                <w:sz w:val="18"/>
                <w:szCs w:val="18"/>
                <w:lang w:val="en-GB"/>
              </w:rPr>
              <w:t>Risk Allocation</w:t>
            </w:r>
          </w:p>
        </w:tc>
        <w:tc>
          <w:tcPr>
            <w:tcW w:w="418" w:type="pct"/>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22AF897E" w14:textId="77777777" w:rsidR="006518A7" w:rsidRPr="00950AB2" w:rsidRDefault="006518A7" w:rsidP="00C64796">
            <w:pPr>
              <w:jc w:val="center"/>
              <w:rPr>
                <w:rFonts w:cs="Arial"/>
                <w:b/>
                <w:color w:val="FFFFFF"/>
                <w:sz w:val="18"/>
                <w:szCs w:val="18"/>
                <w:lang w:val="en-GB"/>
              </w:rPr>
            </w:pPr>
            <w:r w:rsidRPr="00950AB2">
              <w:rPr>
                <w:rFonts w:cs="Arial"/>
                <w:b/>
                <w:color w:val="FFFFFF"/>
                <w:sz w:val="18"/>
                <w:szCs w:val="18"/>
                <w:lang w:val="en-GB"/>
              </w:rPr>
              <w:t>Probability</w:t>
            </w:r>
          </w:p>
        </w:tc>
        <w:tc>
          <w:tcPr>
            <w:tcW w:w="333" w:type="pct"/>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433A68DC" w14:textId="77777777" w:rsidR="006518A7" w:rsidRPr="00950AB2" w:rsidRDefault="006518A7" w:rsidP="00C64796">
            <w:pPr>
              <w:jc w:val="center"/>
              <w:rPr>
                <w:rFonts w:cs="Arial"/>
                <w:b/>
                <w:color w:val="FFFFFF"/>
                <w:sz w:val="18"/>
                <w:szCs w:val="18"/>
                <w:lang w:val="en-GB"/>
              </w:rPr>
            </w:pPr>
            <w:r w:rsidRPr="00950AB2">
              <w:rPr>
                <w:rFonts w:cs="Arial"/>
                <w:b/>
                <w:color w:val="FFFFFF"/>
                <w:sz w:val="18"/>
                <w:szCs w:val="18"/>
                <w:lang w:val="en-GB"/>
              </w:rPr>
              <w:t>Impact</w:t>
            </w:r>
          </w:p>
        </w:tc>
        <w:tc>
          <w:tcPr>
            <w:tcW w:w="668" w:type="pct"/>
            <w:vMerge w:val="restart"/>
            <w:tcBorders>
              <w:top w:val="single" w:sz="4" w:space="0" w:color="auto"/>
              <w:left w:val="single" w:sz="4" w:space="0" w:color="auto"/>
              <w:right w:val="single" w:sz="4" w:space="0" w:color="auto"/>
            </w:tcBorders>
            <w:shd w:val="clear" w:color="000000" w:fill="808080"/>
            <w:vAlign w:val="center"/>
          </w:tcPr>
          <w:p w14:paraId="32D5A1B4" w14:textId="77777777" w:rsidR="006518A7" w:rsidRPr="00950AB2" w:rsidRDefault="006518A7" w:rsidP="00C64796">
            <w:pPr>
              <w:jc w:val="center"/>
              <w:rPr>
                <w:rFonts w:cs="Arial"/>
                <w:b/>
                <w:color w:val="FFFFFF"/>
                <w:sz w:val="18"/>
                <w:szCs w:val="18"/>
                <w:lang w:val="en-GB"/>
              </w:rPr>
            </w:pPr>
            <w:r w:rsidRPr="00950AB2">
              <w:rPr>
                <w:rFonts w:cs="Arial"/>
                <w:b/>
                <w:color w:val="FFFFFF"/>
                <w:sz w:val="18"/>
                <w:szCs w:val="18"/>
                <w:lang w:val="en-GB"/>
              </w:rPr>
              <w:t>Impact description</w:t>
            </w:r>
          </w:p>
        </w:tc>
        <w:tc>
          <w:tcPr>
            <w:tcW w:w="671" w:type="pct"/>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22B41664" w14:textId="77777777" w:rsidR="006518A7" w:rsidRPr="00950AB2" w:rsidRDefault="006518A7" w:rsidP="00C64796">
            <w:pPr>
              <w:jc w:val="center"/>
              <w:rPr>
                <w:rFonts w:cs="Arial"/>
                <w:b/>
                <w:color w:val="FFFFFF"/>
                <w:sz w:val="18"/>
                <w:szCs w:val="18"/>
                <w:lang w:val="en-GB"/>
              </w:rPr>
            </w:pPr>
            <w:r w:rsidRPr="00950AB2">
              <w:rPr>
                <w:rFonts w:cs="Arial"/>
                <w:b/>
                <w:color w:val="FFFFFF"/>
                <w:sz w:val="18"/>
                <w:szCs w:val="18"/>
                <w:lang w:val="en-GB"/>
              </w:rPr>
              <w:t>Risk Management Actions</w:t>
            </w:r>
          </w:p>
        </w:tc>
      </w:tr>
      <w:tr w:rsidR="006518A7" w:rsidRPr="00AD0677" w14:paraId="69B0C6BA" w14:textId="77777777" w:rsidTr="006518A7">
        <w:trPr>
          <w:trHeight w:val="300"/>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320D7903" w14:textId="77777777" w:rsidR="006518A7" w:rsidRPr="00950AB2" w:rsidRDefault="006518A7" w:rsidP="00C64796">
            <w:pPr>
              <w:jc w:val="left"/>
              <w:rPr>
                <w:rFonts w:cs="Arial"/>
                <w:b/>
                <w:color w:val="FFFFFF"/>
                <w:sz w:val="18"/>
                <w:szCs w:val="18"/>
                <w:lang w:val="en-GB"/>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49E836B0" w14:textId="77777777" w:rsidR="006518A7" w:rsidRPr="00950AB2" w:rsidRDefault="006518A7" w:rsidP="00C64796">
            <w:pPr>
              <w:jc w:val="left"/>
              <w:rPr>
                <w:rFonts w:cs="Arial"/>
                <w:b/>
                <w:color w:val="FFFFFF"/>
                <w:sz w:val="18"/>
                <w:szCs w:val="18"/>
                <w:lang w:val="en-GB"/>
              </w:rPr>
            </w:pPr>
          </w:p>
        </w:tc>
        <w:tc>
          <w:tcPr>
            <w:tcW w:w="1223" w:type="pct"/>
            <w:vMerge/>
            <w:tcBorders>
              <w:top w:val="single" w:sz="4" w:space="0" w:color="auto"/>
              <w:left w:val="single" w:sz="4" w:space="0" w:color="auto"/>
              <w:bottom w:val="single" w:sz="4" w:space="0" w:color="auto"/>
              <w:right w:val="single" w:sz="4" w:space="0" w:color="auto"/>
            </w:tcBorders>
            <w:vAlign w:val="center"/>
            <w:hideMark/>
          </w:tcPr>
          <w:p w14:paraId="6C86EC87" w14:textId="77777777" w:rsidR="006518A7" w:rsidRPr="00950AB2" w:rsidRDefault="006518A7" w:rsidP="00C64796">
            <w:pPr>
              <w:jc w:val="left"/>
              <w:rPr>
                <w:rFonts w:cs="Arial"/>
                <w:b/>
                <w:color w:val="FFFFFF"/>
                <w:sz w:val="18"/>
                <w:szCs w:val="18"/>
                <w:lang w:val="en-GB"/>
              </w:rPr>
            </w:pPr>
          </w:p>
        </w:tc>
        <w:tc>
          <w:tcPr>
            <w:tcW w:w="356" w:type="pct"/>
            <w:tcBorders>
              <w:top w:val="nil"/>
              <w:left w:val="nil"/>
              <w:bottom w:val="single" w:sz="4" w:space="0" w:color="auto"/>
              <w:right w:val="single" w:sz="4" w:space="0" w:color="auto"/>
            </w:tcBorders>
            <w:shd w:val="clear" w:color="000000" w:fill="808080"/>
            <w:vAlign w:val="center"/>
            <w:hideMark/>
          </w:tcPr>
          <w:p w14:paraId="0F2CFB25" w14:textId="77777777" w:rsidR="006518A7" w:rsidRPr="00950AB2" w:rsidRDefault="006518A7" w:rsidP="00C64796">
            <w:pPr>
              <w:jc w:val="left"/>
              <w:rPr>
                <w:rFonts w:cs="Arial"/>
                <w:b/>
                <w:color w:val="FFFFFF"/>
                <w:sz w:val="18"/>
                <w:szCs w:val="18"/>
                <w:lang w:val="en-GB"/>
              </w:rPr>
            </w:pPr>
            <w:r w:rsidRPr="00950AB2">
              <w:rPr>
                <w:rFonts w:cs="Arial"/>
                <w:b/>
                <w:color w:val="FFFFFF"/>
                <w:sz w:val="18"/>
                <w:szCs w:val="18"/>
                <w:lang w:val="en-GB"/>
              </w:rPr>
              <w:t>Public</w:t>
            </w:r>
          </w:p>
        </w:tc>
        <w:tc>
          <w:tcPr>
            <w:tcW w:w="344" w:type="pct"/>
            <w:tcBorders>
              <w:top w:val="nil"/>
              <w:left w:val="nil"/>
              <w:bottom w:val="single" w:sz="4" w:space="0" w:color="auto"/>
              <w:right w:val="single" w:sz="4" w:space="0" w:color="auto"/>
            </w:tcBorders>
            <w:shd w:val="clear" w:color="000000" w:fill="808080"/>
            <w:vAlign w:val="center"/>
            <w:hideMark/>
          </w:tcPr>
          <w:p w14:paraId="4BAB76E8" w14:textId="77777777" w:rsidR="006518A7" w:rsidRPr="00950AB2" w:rsidRDefault="006518A7" w:rsidP="00C64796">
            <w:pPr>
              <w:jc w:val="left"/>
              <w:rPr>
                <w:rFonts w:cs="Arial"/>
                <w:b/>
                <w:color w:val="FFFFFF"/>
                <w:sz w:val="18"/>
                <w:szCs w:val="18"/>
                <w:lang w:val="en-GB"/>
              </w:rPr>
            </w:pPr>
            <w:r w:rsidRPr="00950AB2">
              <w:rPr>
                <w:rFonts w:cs="Arial"/>
                <w:b/>
                <w:color w:val="FFFFFF"/>
                <w:sz w:val="18"/>
                <w:szCs w:val="18"/>
                <w:lang w:val="en-GB"/>
              </w:rPr>
              <w:t>Private</w:t>
            </w: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0BFD9287" w14:textId="77777777" w:rsidR="006518A7" w:rsidRPr="00950AB2" w:rsidRDefault="006518A7" w:rsidP="00C64796">
            <w:pPr>
              <w:jc w:val="left"/>
              <w:rPr>
                <w:rFonts w:cs="Arial"/>
                <w:b/>
                <w:color w:val="FFFFFF"/>
                <w:sz w:val="18"/>
                <w:szCs w:val="18"/>
                <w:lang w:val="en-G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19EAFC45" w14:textId="77777777" w:rsidR="006518A7" w:rsidRPr="00950AB2" w:rsidRDefault="006518A7" w:rsidP="00C64796">
            <w:pPr>
              <w:jc w:val="left"/>
              <w:rPr>
                <w:rFonts w:cs="Arial"/>
                <w:b/>
                <w:color w:val="FFFFFF"/>
                <w:sz w:val="18"/>
                <w:szCs w:val="18"/>
                <w:lang w:val="en-GB"/>
              </w:rPr>
            </w:pPr>
          </w:p>
        </w:tc>
        <w:tc>
          <w:tcPr>
            <w:tcW w:w="668" w:type="pct"/>
            <w:vMerge/>
            <w:tcBorders>
              <w:left w:val="single" w:sz="4" w:space="0" w:color="auto"/>
              <w:bottom w:val="single" w:sz="4" w:space="0" w:color="auto"/>
              <w:right w:val="single" w:sz="4" w:space="0" w:color="auto"/>
            </w:tcBorders>
          </w:tcPr>
          <w:p w14:paraId="66DC9185" w14:textId="77777777" w:rsidR="006518A7" w:rsidRPr="00950AB2" w:rsidRDefault="006518A7" w:rsidP="00C64796">
            <w:pPr>
              <w:jc w:val="left"/>
              <w:rPr>
                <w:rFonts w:cs="Arial"/>
                <w:b/>
                <w:color w:val="FFFFFF"/>
                <w:sz w:val="18"/>
                <w:szCs w:val="18"/>
                <w:lang w:val="en-GB"/>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072A857" w14:textId="77777777" w:rsidR="006518A7" w:rsidRPr="00950AB2" w:rsidRDefault="006518A7" w:rsidP="00C64796">
            <w:pPr>
              <w:jc w:val="left"/>
              <w:rPr>
                <w:rFonts w:cs="Arial"/>
                <w:b/>
                <w:color w:val="FFFFFF"/>
                <w:sz w:val="18"/>
                <w:szCs w:val="18"/>
                <w:lang w:val="en-GB"/>
              </w:rPr>
            </w:pPr>
          </w:p>
        </w:tc>
      </w:tr>
      <w:tr w:rsidR="006518A7" w:rsidRPr="00AD0677" w14:paraId="528DA80A" w14:textId="77777777" w:rsidTr="006518A7">
        <w:trPr>
          <w:trHeight w:val="480"/>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35776179" w14:textId="213EFDBA"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1.</w:t>
            </w:r>
          </w:p>
        </w:tc>
        <w:tc>
          <w:tcPr>
            <w:tcW w:w="777" w:type="pct"/>
            <w:tcBorders>
              <w:top w:val="nil"/>
              <w:left w:val="nil"/>
              <w:bottom w:val="single" w:sz="4" w:space="0" w:color="auto"/>
              <w:right w:val="single" w:sz="4" w:space="0" w:color="auto"/>
            </w:tcBorders>
            <w:shd w:val="clear" w:color="000000" w:fill="E7E6E6"/>
            <w:vAlign w:val="center"/>
            <w:hideMark/>
          </w:tcPr>
          <w:p w14:paraId="3FE329F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Failed or challenged tender</w:t>
            </w:r>
          </w:p>
        </w:tc>
        <w:tc>
          <w:tcPr>
            <w:tcW w:w="1223" w:type="pct"/>
            <w:tcBorders>
              <w:top w:val="nil"/>
              <w:left w:val="nil"/>
              <w:bottom w:val="single" w:sz="4" w:space="0" w:color="auto"/>
              <w:right w:val="single" w:sz="4" w:space="0" w:color="auto"/>
            </w:tcBorders>
            <w:shd w:val="clear" w:color="auto" w:fill="auto"/>
            <w:vAlign w:val="center"/>
            <w:hideMark/>
          </w:tcPr>
          <w:p w14:paraId="08CD9564"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Insufficient number of bids, incomplete bids, legal actions, risk of fraud in tenders, etc.</w:t>
            </w:r>
          </w:p>
        </w:tc>
        <w:tc>
          <w:tcPr>
            <w:tcW w:w="356" w:type="pct"/>
            <w:tcBorders>
              <w:top w:val="nil"/>
              <w:left w:val="nil"/>
              <w:bottom w:val="single" w:sz="4" w:space="0" w:color="auto"/>
              <w:right w:val="single" w:sz="4" w:space="0" w:color="auto"/>
            </w:tcBorders>
            <w:shd w:val="clear" w:color="auto" w:fill="auto"/>
            <w:vAlign w:val="center"/>
            <w:hideMark/>
          </w:tcPr>
          <w:p w14:paraId="51E8DAB2"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344" w:type="pct"/>
            <w:tcBorders>
              <w:top w:val="nil"/>
              <w:left w:val="nil"/>
              <w:bottom w:val="single" w:sz="4" w:space="0" w:color="auto"/>
              <w:right w:val="single" w:sz="4" w:space="0" w:color="auto"/>
            </w:tcBorders>
            <w:shd w:val="clear" w:color="auto" w:fill="auto"/>
            <w:vAlign w:val="center"/>
            <w:hideMark/>
          </w:tcPr>
          <w:p w14:paraId="6D1AAF6F"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418" w:type="pct"/>
            <w:tcBorders>
              <w:top w:val="nil"/>
              <w:left w:val="nil"/>
              <w:bottom w:val="single" w:sz="4" w:space="0" w:color="auto"/>
              <w:right w:val="single" w:sz="4" w:space="0" w:color="auto"/>
            </w:tcBorders>
            <w:shd w:val="clear" w:color="auto" w:fill="auto"/>
            <w:vAlign w:val="center"/>
            <w:hideMark/>
          </w:tcPr>
          <w:p w14:paraId="33C92E2F"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hideMark/>
          </w:tcPr>
          <w:p w14:paraId="47FD9A7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671B9574"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May delay project start date (and eventually timely realization of benefits) due to the potential court cases in case of challenged tender, need to restructure tender and announce it again in case of failed tender. This will also cause increased effort and government spending on tender preparation.</w:t>
            </w:r>
          </w:p>
        </w:tc>
        <w:tc>
          <w:tcPr>
            <w:tcW w:w="671" w:type="pct"/>
            <w:tcBorders>
              <w:top w:val="nil"/>
              <w:left w:val="nil"/>
              <w:bottom w:val="single" w:sz="4" w:space="0" w:color="auto"/>
              <w:right w:val="single" w:sz="4" w:space="0" w:color="auto"/>
            </w:tcBorders>
            <w:shd w:val="clear" w:color="auto" w:fill="auto"/>
            <w:vAlign w:val="center"/>
            <w:hideMark/>
          </w:tcPr>
          <w:p w14:paraId="438EA646"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Market consultation / sounding process and early engagement of potential bidders.</w:t>
            </w:r>
          </w:p>
        </w:tc>
      </w:tr>
      <w:tr w:rsidR="006518A7" w:rsidRPr="00AD0677" w14:paraId="01173D6A" w14:textId="77777777" w:rsidTr="006518A7">
        <w:trPr>
          <w:trHeight w:val="480"/>
        </w:trPr>
        <w:tc>
          <w:tcPr>
            <w:tcW w:w="210" w:type="pct"/>
            <w:tcBorders>
              <w:top w:val="nil"/>
              <w:left w:val="single" w:sz="4" w:space="0" w:color="auto"/>
              <w:bottom w:val="single" w:sz="4" w:space="0" w:color="auto"/>
              <w:right w:val="single" w:sz="4" w:space="0" w:color="auto"/>
            </w:tcBorders>
            <w:shd w:val="clear" w:color="000000" w:fill="EDEDED"/>
            <w:vAlign w:val="center"/>
          </w:tcPr>
          <w:p w14:paraId="1F7474F5"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2.</w:t>
            </w:r>
          </w:p>
        </w:tc>
        <w:tc>
          <w:tcPr>
            <w:tcW w:w="777" w:type="pct"/>
            <w:tcBorders>
              <w:top w:val="nil"/>
              <w:left w:val="nil"/>
              <w:bottom w:val="single" w:sz="4" w:space="0" w:color="auto"/>
              <w:right w:val="single" w:sz="4" w:space="0" w:color="auto"/>
            </w:tcBorders>
            <w:shd w:val="clear" w:color="000000" w:fill="E7E6E6"/>
            <w:vAlign w:val="center"/>
          </w:tcPr>
          <w:p w14:paraId="51B78F0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Selection of unreputable bidders / or change of the ownership of the selected reputable bidder</w:t>
            </w:r>
          </w:p>
        </w:tc>
        <w:tc>
          <w:tcPr>
            <w:tcW w:w="1223" w:type="pct"/>
            <w:tcBorders>
              <w:top w:val="nil"/>
              <w:left w:val="nil"/>
              <w:bottom w:val="single" w:sz="4" w:space="0" w:color="auto"/>
              <w:right w:val="single" w:sz="4" w:space="0" w:color="auto"/>
            </w:tcBorders>
            <w:shd w:val="clear" w:color="auto" w:fill="auto"/>
            <w:vAlign w:val="center"/>
          </w:tcPr>
          <w:p w14:paraId="09F5F574"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Selection of bidders or change in ownership rights of the selected bidders that may pose national security concerns.</w:t>
            </w:r>
          </w:p>
        </w:tc>
        <w:tc>
          <w:tcPr>
            <w:tcW w:w="356" w:type="pct"/>
            <w:tcBorders>
              <w:top w:val="nil"/>
              <w:left w:val="nil"/>
              <w:bottom w:val="single" w:sz="4" w:space="0" w:color="auto"/>
              <w:right w:val="single" w:sz="4" w:space="0" w:color="auto"/>
            </w:tcBorders>
            <w:shd w:val="clear" w:color="auto" w:fill="auto"/>
            <w:vAlign w:val="center"/>
          </w:tcPr>
          <w:p w14:paraId="3BD61FAF"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344" w:type="pct"/>
            <w:tcBorders>
              <w:top w:val="nil"/>
              <w:left w:val="nil"/>
              <w:bottom w:val="single" w:sz="4" w:space="0" w:color="auto"/>
              <w:right w:val="single" w:sz="4" w:space="0" w:color="auto"/>
            </w:tcBorders>
            <w:shd w:val="clear" w:color="auto" w:fill="auto"/>
            <w:vAlign w:val="center"/>
          </w:tcPr>
          <w:p w14:paraId="208A4D6D"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418" w:type="pct"/>
            <w:tcBorders>
              <w:top w:val="nil"/>
              <w:left w:val="nil"/>
              <w:bottom w:val="single" w:sz="4" w:space="0" w:color="auto"/>
              <w:right w:val="single" w:sz="4" w:space="0" w:color="auto"/>
            </w:tcBorders>
            <w:shd w:val="clear" w:color="auto" w:fill="auto"/>
            <w:vAlign w:val="center"/>
          </w:tcPr>
          <w:p w14:paraId="74C901B2"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15-40 %</w:t>
            </w:r>
          </w:p>
        </w:tc>
        <w:tc>
          <w:tcPr>
            <w:tcW w:w="333" w:type="pct"/>
            <w:tcBorders>
              <w:top w:val="nil"/>
              <w:left w:val="nil"/>
              <w:bottom w:val="single" w:sz="4" w:space="0" w:color="auto"/>
              <w:right w:val="single" w:sz="4" w:space="0" w:color="auto"/>
            </w:tcBorders>
            <w:shd w:val="clear" w:color="auto" w:fill="auto"/>
            <w:vAlign w:val="center"/>
          </w:tcPr>
          <w:p w14:paraId="5E53053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High</w:t>
            </w:r>
          </w:p>
        </w:tc>
        <w:tc>
          <w:tcPr>
            <w:tcW w:w="668" w:type="pct"/>
            <w:tcBorders>
              <w:top w:val="single" w:sz="4" w:space="0" w:color="auto"/>
              <w:left w:val="nil"/>
              <w:bottom w:val="single" w:sz="4" w:space="0" w:color="auto"/>
              <w:right w:val="single" w:sz="4" w:space="0" w:color="auto"/>
            </w:tcBorders>
          </w:tcPr>
          <w:p w14:paraId="31FC236A"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Selection of unreputable bidders or change of ownership rights of selected bidders may pose national security threats.</w:t>
            </w:r>
          </w:p>
        </w:tc>
        <w:tc>
          <w:tcPr>
            <w:tcW w:w="671" w:type="pct"/>
            <w:tcBorders>
              <w:top w:val="nil"/>
              <w:left w:val="nil"/>
              <w:bottom w:val="single" w:sz="4" w:space="0" w:color="auto"/>
              <w:right w:val="single" w:sz="4" w:space="0" w:color="auto"/>
            </w:tcBorders>
            <w:shd w:val="clear" w:color="auto" w:fill="auto"/>
            <w:vAlign w:val="center"/>
          </w:tcPr>
          <w:p w14:paraId="3946DA42" w14:textId="77777777" w:rsidR="006518A7" w:rsidRDefault="006518A7" w:rsidP="00C64796">
            <w:pPr>
              <w:rPr>
                <w:rFonts w:cs="Arial"/>
                <w:color w:val="000000"/>
                <w:sz w:val="18"/>
                <w:szCs w:val="18"/>
                <w:lang w:val="en-GB"/>
              </w:rPr>
            </w:pPr>
            <w:r w:rsidRPr="00950AB2">
              <w:rPr>
                <w:rFonts w:cs="Arial"/>
                <w:color w:val="000000"/>
                <w:sz w:val="18"/>
                <w:szCs w:val="18"/>
                <w:lang w:val="en-GB"/>
              </w:rPr>
              <w:t>1. NSS clearance for eligibility of bidders</w:t>
            </w:r>
            <w:r>
              <w:rPr>
                <w:rFonts w:cs="Arial"/>
                <w:color w:val="000000"/>
                <w:sz w:val="18"/>
                <w:szCs w:val="18"/>
                <w:lang w:val="en-GB"/>
              </w:rPr>
              <w:t>.</w:t>
            </w:r>
          </w:p>
          <w:p w14:paraId="6E2FD643" w14:textId="77777777" w:rsidR="006518A7" w:rsidRDefault="006518A7" w:rsidP="00C64796">
            <w:pPr>
              <w:rPr>
                <w:rFonts w:cs="Arial"/>
                <w:color w:val="000000"/>
                <w:sz w:val="18"/>
                <w:szCs w:val="18"/>
                <w:lang w:val="en-GB"/>
              </w:rPr>
            </w:pPr>
            <w:r w:rsidRPr="00950AB2">
              <w:rPr>
                <w:rFonts w:cs="Arial"/>
                <w:color w:val="000000"/>
                <w:sz w:val="18"/>
                <w:szCs w:val="18"/>
                <w:lang w:val="en-GB"/>
              </w:rPr>
              <w:t>2.  MFA and Defence Ministry clearance for foreign and for foreign-owned bidders</w:t>
            </w:r>
            <w:r>
              <w:rPr>
                <w:rFonts w:cs="Arial"/>
                <w:color w:val="000000"/>
                <w:sz w:val="18"/>
                <w:szCs w:val="18"/>
                <w:lang w:val="en-GB"/>
              </w:rPr>
              <w:t>.</w:t>
            </w:r>
          </w:p>
          <w:p w14:paraId="3C3BC2B3" w14:textId="77777777" w:rsidR="006518A7" w:rsidRDefault="006518A7" w:rsidP="00C64796">
            <w:pPr>
              <w:rPr>
                <w:rFonts w:cs="Arial"/>
                <w:color w:val="000000"/>
                <w:sz w:val="18"/>
                <w:szCs w:val="18"/>
                <w:lang w:val="en-GB"/>
              </w:rPr>
            </w:pPr>
            <w:r w:rsidRPr="00950AB2">
              <w:rPr>
                <w:rFonts w:cs="Arial"/>
                <w:color w:val="000000"/>
                <w:sz w:val="18"/>
                <w:szCs w:val="18"/>
                <w:lang w:val="en-GB"/>
              </w:rPr>
              <w:t xml:space="preserve">3. Qualification / eligibility criteria limits participation of </w:t>
            </w:r>
            <w:proofErr w:type="gramStart"/>
            <w:r w:rsidRPr="00950AB2">
              <w:rPr>
                <w:rFonts w:cs="Arial"/>
                <w:color w:val="000000"/>
                <w:sz w:val="18"/>
                <w:szCs w:val="18"/>
                <w:lang w:val="en-GB"/>
              </w:rPr>
              <w:t>state owned</w:t>
            </w:r>
            <w:proofErr w:type="gramEnd"/>
            <w:r w:rsidRPr="00950AB2">
              <w:rPr>
                <w:rFonts w:cs="Arial"/>
                <w:color w:val="000000"/>
                <w:sz w:val="18"/>
                <w:szCs w:val="18"/>
                <w:lang w:val="en-GB"/>
              </w:rPr>
              <w:t xml:space="preserve"> enterprises where the state has significant control through full, majority, or significant minority ownership.</w:t>
            </w:r>
          </w:p>
          <w:p w14:paraId="5BA91854"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 xml:space="preserve">4. No change in direct or indirect ownership of the Private Partner during the contract without written consent by the </w:t>
            </w:r>
            <w:proofErr w:type="spellStart"/>
            <w:r w:rsidRPr="00950AB2">
              <w:rPr>
                <w:rFonts w:cs="Arial"/>
                <w:color w:val="000000"/>
                <w:sz w:val="18"/>
                <w:szCs w:val="18"/>
                <w:lang w:val="en-GB"/>
              </w:rPr>
              <w:t>GoA</w:t>
            </w:r>
            <w:proofErr w:type="spellEnd"/>
            <w:r w:rsidRPr="00950AB2">
              <w:rPr>
                <w:rFonts w:cs="Arial"/>
                <w:color w:val="000000"/>
                <w:sz w:val="18"/>
                <w:szCs w:val="18"/>
                <w:lang w:val="en-GB"/>
              </w:rPr>
              <w:t>.</w:t>
            </w:r>
          </w:p>
        </w:tc>
      </w:tr>
      <w:tr w:rsidR="006518A7" w:rsidRPr="00AD0677" w14:paraId="4FC7D8F5" w14:textId="77777777" w:rsidTr="006518A7">
        <w:trPr>
          <w:trHeight w:val="732"/>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739BB863"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lastRenderedPageBreak/>
              <w:t>3.</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37FDA69A"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Selection of underqualified bidders</w:t>
            </w:r>
          </w:p>
        </w:tc>
        <w:tc>
          <w:tcPr>
            <w:tcW w:w="1223" w:type="pct"/>
            <w:tcBorders>
              <w:top w:val="nil"/>
              <w:left w:val="nil"/>
              <w:bottom w:val="single" w:sz="4" w:space="0" w:color="auto"/>
              <w:right w:val="single" w:sz="4" w:space="0" w:color="auto"/>
            </w:tcBorders>
            <w:shd w:val="clear" w:color="auto" w:fill="auto"/>
            <w:vAlign w:val="center"/>
            <w:hideMark/>
          </w:tcPr>
          <w:p w14:paraId="18ED31E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Can be caused due to improper selection method or other causes</w:t>
            </w:r>
          </w:p>
        </w:tc>
        <w:tc>
          <w:tcPr>
            <w:tcW w:w="356" w:type="pct"/>
            <w:tcBorders>
              <w:top w:val="nil"/>
              <w:left w:val="nil"/>
              <w:bottom w:val="single" w:sz="4" w:space="0" w:color="auto"/>
              <w:right w:val="single" w:sz="4" w:space="0" w:color="auto"/>
            </w:tcBorders>
            <w:shd w:val="clear" w:color="auto" w:fill="auto"/>
            <w:vAlign w:val="center"/>
            <w:hideMark/>
          </w:tcPr>
          <w:p w14:paraId="5E9FF0C3"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344" w:type="pct"/>
            <w:tcBorders>
              <w:top w:val="nil"/>
              <w:left w:val="nil"/>
              <w:bottom w:val="single" w:sz="4" w:space="0" w:color="auto"/>
              <w:right w:val="single" w:sz="4" w:space="0" w:color="auto"/>
            </w:tcBorders>
            <w:shd w:val="clear" w:color="auto" w:fill="auto"/>
            <w:vAlign w:val="center"/>
            <w:hideMark/>
          </w:tcPr>
          <w:p w14:paraId="38E44920"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418" w:type="pct"/>
            <w:tcBorders>
              <w:top w:val="nil"/>
              <w:left w:val="nil"/>
              <w:bottom w:val="single" w:sz="4" w:space="0" w:color="auto"/>
              <w:right w:val="single" w:sz="4" w:space="0" w:color="auto"/>
            </w:tcBorders>
            <w:shd w:val="clear" w:color="auto" w:fill="auto"/>
            <w:vAlign w:val="center"/>
            <w:hideMark/>
          </w:tcPr>
          <w:p w14:paraId="28D613C3"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hideMark/>
          </w:tcPr>
          <w:p w14:paraId="37C0F01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High</w:t>
            </w:r>
          </w:p>
        </w:tc>
        <w:tc>
          <w:tcPr>
            <w:tcW w:w="668" w:type="pct"/>
            <w:tcBorders>
              <w:top w:val="single" w:sz="4" w:space="0" w:color="auto"/>
              <w:left w:val="nil"/>
              <w:bottom w:val="single" w:sz="4" w:space="0" w:color="auto"/>
              <w:right w:val="single" w:sz="4" w:space="0" w:color="auto"/>
            </w:tcBorders>
            <w:vAlign w:val="center"/>
          </w:tcPr>
          <w:p w14:paraId="7FC76A6F"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May impact quality of project results and ability to realize expected benefits.</w:t>
            </w:r>
          </w:p>
        </w:tc>
        <w:tc>
          <w:tcPr>
            <w:tcW w:w="671" w:type="pct"/>
            <w:tcBorders>
              <w:top w:val="nil"/>
              <w:left w:val="nil"/>
              <w:bottom w:val="single" w:sz="4" w:space="0" w:color="auto"/>
              <w:right w:val="single" w:sz="4" w:space="0" w:color="auto"/>
            </w:tcBorders>
            <w:shd w:val="clear" w:color="auto" w:fill="auto"/>
            <w:vAlign w:val="center"/>
            <w:hideMark/>
          </w:tcPr>
          <w:p w14:paraId="7C43F21E"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1. Independent third party (consultants) to provide technical evaluation of tenders, support in shortlisting procedures.</w:t>
            </w:r>
          </w:p>
          <w:p w14:paraId="55AC5864"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2. Selection methods should be based on total economic value: quality of the proposal shall be scored higher than price.</w:t>
            </w:r>
          </w:p>
        </w:tc>
      </w:tr>
      <w:tr w:rsidR="006518A7" w:rsidRPr="00AD0677" w14:paraId="23804410" w14:textId="77777777" w:rsidTr="006518A7">
        <w:trPr>
          <w:trHeight w:val="732"/>
        </w:trPr>
        <w:tc>
          <w:tcPr>
            <w:tcW w:w="210" w:type="pct"/>
            <w:tcBorders>
              <w:top w:val="nil"/>
              <w:left w:val="single" w:sz="4" w:space="0" w:color="auto"/>
              <w:bottom w:val="single" w:sz="4" w:space="0" w:color="auto"/>
              <w:right w:val="single" w:sz="4" w:space="0" w:color="auto"/>
            </w:tcBorders>
            <w:shd w:val="clear" w:color="000000" w:fill="EDEDED"/>
            <w:vAlign w:val="center"/>
          </w:tcPr>
          <w:p w14:paraId="40DB06AC"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t>4.</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tcPr>
          <w:p w14:paraId="2D9BBBE4"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Overpayment</w:t>
            </w:r>
          </w:p>
        </w:tc>
        <w:tc>
          <w:tcPr>
            <w:tcW w:w="1223" w:type="pct"/>
            <w:tcBorders>
              <w:top w:val="nil"/>
              <w:left w:val="nil"/>
              <w:bottom w:val="single" w:sz="4" w:space="0" w:color="auto"/>
              <w:right w:val="single" w:sz="4" w:space="0" w:color="auto"/>
            </w:tcBorders>
            <w:shd w:val="clear" w:color="auto" w:fill="auto"/>
            <w:vAlign w:val="center"/>
          </w:tcPr>
          <w:p w14:paraId="4A83F7A3"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High prices or margins set by the Private Partner </w:t>
            </w:r>
          </w:p>
        </w:tc>
        <w:tc>
          <w:tcPr>
            <w:tcW w:w="356" w:type="pct"/>
            <w:tcBorders>
              <w:top w:val="nil"/>
              <w:left w:val="nil"/>
              <w:bottom w:val="single" w:sz="4" w:space="0" w:color="auto"/>
              <w:right w:val="single" w:sz="4" w:space="0" w:color="auto"/>
            </w:tcBorders>
            <w:shd w:val="clear" w:color="auto" w:fill="auto"/>
            <w:vAlign w:val="center"/>
          </w:tcPr>
          <w:p w14:paraId="43C011F0"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344" w:type="pct"/>
            <w:tcBorders>
              <w:top w:val="nil"/>
              <w:left w:val="nil"/>
              <w:bottom w:val="single" w:sz="4" w:space="0" w:color="auto"/>
              <w:right w:val="single" w:sz="4" w:space="0" w:color="auto"/>
            </w:tcBorders>
            <w:shd w:val="clear" w:color="auto" w:fill="auto"/>
            <w:vAlign w:val="center"/>
          </w:tcPr>
          <w:p w14:paraId="3A7D0957"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418" w:type="pct"/>
            <w:tcBorders>
              <w:top w:val="nil"/>
              <w:left w:val="nil"/>
              <w:bottom w:val="single" w:sz="4" w:space="0" w:color="auto"/>
              <w:right w:val="single" w:sz="4" w:space="0" w:color="auto"/>
            </w:tcBorders>
            <w:shd w:val="clear" w:color="auto" w:fill="auto"/>
            <w:vAlign w:val="center"/>
          </w:tcPr>
          <w:p w14:paraId="69DC30AF"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tcPr>
          <w:p w14:paraId="3F44A0DC"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vAlign w:val="center"/>
          </w:tcPr>
          <w:p w14:paraId="46DBF85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Setting a high price or margin results in overutilization of budgetary funds, as well as increases social and political risks.</w:t>
            </w:r>
          </w:p>
        </w:tc>
        <w:tc>
          <w:tcPr>
            <w:tcW w:w="671" w:type="pct"/>
            <w:tcBorders>
              <w:top w:val="nil"/>
              <w:left w:val="nil"/>
              <w:bottom w:val="single" w:sz="4" w:space="0" w:color="auto"/>
              <w:right w:val="single" w:sz="4" w:space="0" w:color="auto"/>
            </w:tcBorders>
            <w:shd w:val="clear" w:color="auto" w:fill="auto"/>
            <w:vAlign w:val="center"/>
          </w:tcPr>
          <w:p w14:paraId="71B3BC5B" w14:textId="77777777" w:rsidR="006518A7" w:rsidRDefault="006518A7" w:rsidP="00C64796">
            <w:pPr>
              <w:tabs>
                <w:tab w:val="left" w:pos="384"/>
              </w:tabs>
              <w:jc w:val="left"/>
              <w:rPr>
                <w:rFonts w:cs="Arial"/>
                <w:color w:val="000000"/>
                <w:sz w:val="18"/>
                <w:szCs w:val="18"/>
                <w:lang w:val="en-GB"/>
              </w:rPr>
            </w:pPr>
            <w:r w:rsidRPr="00950AB2">
              <w:rPr>
                <w:rFonts w:cs="Arial"/>
                <w:color w:val="000000"/>
                <w:sz w:val="18"/>
                <w:szCs w:val="18"/>
                <w:lang w:val="en-GB"/>
              </w:rPr>
              <w:t>1. Competitive selection of the private partner (bidding procedure).</w:t>
            </w:r>
          </w:p>
          <w:p w14:paraId="174DDE54" w14:textId="77777777" w:rsidR="006518A7" w:rsidRDefault="006518A7" w:rsidP="00C64796">
            <w:pPr>
              <w:tabs>
                <w:tab w:val="left" w:pos="384"/>
              </w:tabs>
              <w:jc w:val="left"/>
              <w:rPr>
                <w:rFonts w:cs="Arial"/>
                <w:color w:val="000000"/>
                <w:sz w:val="18"/>
                <w:szCs w:val="18"/>
                <w:lang w:val="en-GB"/>
              </w:rPr>
            </w:pPr>
            <w:r w:rsidRPr="00950AB2">
              <w:rPr>
                <w:rFonts w:cs="Arial"/>
                <w:color w:val="000000"/>
                <w:sz w:val="18"/>
                <w:szCs w:val="18"/>
                <w:lang w:val="en-GB"/>
              </w:rPr>
              <w:t>2. Communication to engage more bidders.</w:t>
            </w:r>
          </w:p>
          <w:p w14:paraId="21570C51" w14:textId="77777777" w:rsidR="006518A7" w:rsidRPr="00950AB2" w:rsidRDefault="006518A7" w:rsidP="00C64796">
            <w:pPr>
              <w:tabs>
                <w:tab w:val="left" w:pos="384"/>
              </w:tabs>
              <w:jc w:val="left"/>
              <w:rPr>
                <w:rFonts w:cs="Arial"/>
                <w:color w:val="000000"/>
                <w:sz w:val="18"/>
                <w:szCs w:val="18"/>
                <w:lang w:val="en-GB"/>
              </w:rPr>
            </w:pPr>
            <w:r w:rsidRPr="00950AB2">
              <w:rPr>
                <w:rFonts w:cs="Arial"/>
                <w:color w:val="000000"/>
                <w:sz w:val="18"/>
                <w:szCs w:val="18"/>
                <w:lang w:val="en-GB"/>
              </w:rPr>
              <w:t xml:space="preserve">3. Preliminary research by the public partner on costs of digitalized passports in other countries (part of the pre-feasibility study). </w:t>
            </w:r>
          </w:p>
        </w:tc>
      </w:tr>
      <w:tr w:rsidR="006518A7" w:rsidRPr="00AD0677" w14:paraId="45F7B8F5" w14:textId="77777777" w:rsidTr="006518A7">
        <w:trPr>
          <w:trHeight w:val="924"/>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6B1B708B"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t>5.</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16B975DE"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General legal and regulatory risks</w:t>
            </w:r>
          </w:p>
        </w:tc>
        <w:tc>
          <w:tcPr>
            <w:tcW w:w="1223" w:type="pct"/>
            <w:tcBorders>
              <w:top w:val="nil"/>
              <w:left w:val="nil"/>
              <w:bottom w:val="single" w:sz="4" w:space="0" w:color="auto"/>
              <w:right w:val="single" w:sz="4" w:space="0" w:color="auto"/>
            </w:tcBorders>
            <w:shd w:val="clear" w:color="auto" w:fill="auto"/>
            <w:vAlign w:val="center"/>
            <w:hideMark/>
          </w:tcPr>
          <w:p w14:paraId="63EB726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Changing the regulatory framework for ID card and passport issuance / requirements.  Changing the normative base in the field of regulation of operational activities (tariffs, taxation etc.). The Public partner primarily bears the risk of unexpected changes in law which were not in the public domain before a specified cut-off date in the bid phase and which cause the Private Partner’s performance of its contractual obligations to be wholly or partly impossible, delayed or more expensive than anticipated (or impact its investors)</w:t>
            </w:r>
          </w:p>
        </w:tc>
        <w:tc>
          <w:tcPr>
            <w:tcW w:w="356" w:type="pct"/>
            <w:tcBorders>
              <w:top w:val="nil"/>
              <w:left w:val="nil"/>
              <w:bottom w:val="single" w:sz="4" w:space="0" w:color="auto"/>
              <w:right w:val="single" w:sz="4" w:space="0" w:color="auto"/>
            </w:tcBorders>
            <w:shd w:val="clear" w:color="auto" w:fill="auto"/>
            <w:vAlign w:val="center"/>
            <w:hideMark/>
          </w:tcPr>
          <w:p w14:paraId="5A8FDDEF"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344" w:type="pct"/>
            <w:tcBorders>
              <w:top w:val="nil"/>
              <w:left w:val="nil"/>
              <w:bottom w:val="single" w:sz="4" w:space="0" w:color="auto"/>
              <w:right w:val="single" w:sz="4" w:space="0" w:color="auto"/>
            </w:tcBorders>
            <w:shd w:val="clear" w:color="auto" w:fill="auto"/>
            <w:vAlign w:val="center"/>
            <w:hideMark/>
          </w:tcPr>
          <w:p w14:paraId="5C420CD6"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418" w:type="pct"/>
            <w:tcBorders>
              <w:top w:val="nil"/>
              <w:left w:val="nil"/>
              <w:bottom w:val="single" w:sz="4" w:space="0" w:color="auto"/>
              <w:right w:val="single" w:sz="4" w:space="0" w:color="auto"/>
            </w:tcBorders>
            <w:shd w:val="clear" w:color="auto" w:fill="auto"/>
            <w:vAlign w:val="center"/>
            <w:hideMark/>
          </w:tcPr>
          <w:p w14:paraId="6CF366F9"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50%-70%</w:t>
            </w:r>
          </w:p>
        </w:tc>
        <w:tc>
          <w:tcPr>
            <w:tcW w:w="333" w:type="pct"/>
            <w:tcBorders>
              <w:top w:val="nil"/>
              <w:left w:val="nil"/>
              <w:bottom w:val="single" w:sz="4" w:space="0" w:color="auto"/>
              <w:right w:val="single" w:sz="4" w:space="0" w:color="auto"/>
            </w:tcBorders>
            <w:shd w:val="clear" w:color="auto" w:fill="auto"/>
            <w:vAlign w:val="center"/>
            <w:hideMark/>
          </w:tcPr>
          <w:p w14:paraId="50C25A9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High</w:t>
            </w:r>
          </w:p>
        </w:tc>
        <w:tc>
          <w:tcPr>
            <w:tcW w:w="668" w:type="pct"/>
            <w:tcBorders>
              <w:top w:val="single" w:sz="4" w:space="0" w:color="auto"/>
              <w:left w:val="nil"/>
              <w:bottom w:val="single" w:sz="4" w:space="0" w:color="auto"/>
              <w:right w:val="single" w:sz="4" w:space="0" w:color="auto"/>
            </w:tcBorders>
          </w:tcPr>
          <w:p w14:paraId="4B1B1220"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Minimum requirements for vendor may not consider expected changes, thus vendor may request change and increase price. </w:t>
            </w:r>
          </w:p>
        </w:tc>
        <w:tc>
          <w:tcPr>
            <w:tcW w:w="671" w:type="pct"/>
            <w:tcBorders>
              <w:top w:val="nil"/>
              <w:left w:val="nil"/>
              <w:bottom w:val="single" w:sz="4" w:space="0" w:color="auto"/>
              <w:right w:val="single" w:sz="4" w:space="0" w:color="auto"/>
            </w:tcBorders>
            <w:shd w:val="clear" w:color="auto" w:fill="auto"/>
            <w:vAlign w:val="center"/>
            <w:hideMark/>
          </w:tcPr>
          <w:p w14:paraId="71659BD7"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 xml:space="preserve">1. The Public partner’s risk can be mitigated by ensuring that the contract clearly defines what constitutes a change, the relevant cut-off date and what constitutes being in the public domain. This will vary according to the nature of the project </w:t>
            </w:r>
            <w:r w:rsidRPr="00950AB2">
              <w:rPr>
                <w:rFonts w:cs="Arial"/>
                <w:color w:val="000000"/>
                <w:sz w:val="18"/>
                <w:szCs w:val="18"/>
                <w:lang w:val="en-GB"/>
              </w:rPr>
              <w:lastRenderedPageBreak/>
              <w:t>and jurisdiction concerned.</w:t>
            </w:r>
          </w:p>
          <w:p w14:paraId="621877F2"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2. Legal changes closely monitored by the contract monitoring committee.</w:t>
            </w:r>
          </w:p>
          <w:p w14:paraId="5FBE6E08"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3. Communication links established with the private partner to discuss impact on their operations / to negotiate.</w:t>
            </w:r>
          </w:p>
          <w:p w14:paraId="2790110F"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4. Minimum requirements for vendor include requirements that services must meet the latest versions of specific international standards, so that private partner is obliged to keep services up to date – so if changes reflect only change in international standard, it is not considered a change.</w:t>
            </w:r>
          </w:p>
          <w:p w14:paraId="5CEB325B"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5. Regulatory framework for the identification system recommended to be updated before the tender.</w:t>
            </w:r>
          </w:p>
        </w:tc>
      </w:tr>
      <w:tr w:rsidR="006518A7" w:rsidRPr="00AD0677" w14:paraId="2D7770F2" w14:textId="77777777" w:rsidTr="006518A7">
        <w:trPr>
          <w:trHeight w:val="1380"/>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4B7F580F"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lastRenderedPageBreak/>
              <w:t>6.</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6F62151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Specific legal risks associated with a PPP contract</w:t>
            </w:r>
          </w:p>
        </w:tc>
        <w:tc>
          <w:tcPr>
            <w:tcW w:w="1223" w:type="pct"/>
            <w:tcBorders>
              <w:top w:val="nil"/>
              <w:left w:val="nil"/>
              <w:bottom w:val="single" w:sz="4" w:space="0" w:color="auto"/>
              <w:right w:val="single" w:sz="4" w:space="0" w:color="auto"/>
            </w:tcBorders>
            <w:shd w:val="clear" w:color="auto" w:fill="auto"/>
            <w:vAlign w:val="center"/>
            <w:hideMark/>
          </w:tcPr>
          <w:p w14:paraId="20D0AEF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Legal risks related to the contract and other contractual relationships within the project (failure of the parties to fulfil obligations, early termination of the contract, untimely transfer of property, Lack or insufficient level of contractual settlement of certain issues, etc. </w:t>
            </w:r>
          </w:p>
        </w:tc>
        <w:tc>
          <w:tcPr>
            <w:tcW w:w="356" w:type="pct"/>
            <w:tcBorders>
              <w:top w:val="nil"/>
              <w:left w:val="nil"/>
              <w:bottom w:val="single" w:sz="4" w:space="0" w:color="auto"/>
              <w:right w:val="single" w:sz="4" w:space="0" w:color="auto"/>
            </w:tcBorders>
            <w:shd w:val="clear" w:color="auto" w:fill="auto"/>
            <w:vAlign w:val="center"/>
            <w:hideMark/>
          </w:tcPr>
          <w:p w14:paraId="00D4DA7A"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50%</w:t>
            </w:r>
          </w:p>
        </w:tc>
        <w:tc>
          <w:tcPr>
            <w:tcW w:w="344" w:type="pct"/>
            <w:tcBorders>
              <w:top w:val="nil"/>
              <w:left w:val="nil"/>
              <w:bottom w:val="single" w:sz="4" w:space="0" w:color="auto"/>
              <w:right w:val="single" w:sz="4" w:space="0" w:color="auto"/>
            </w:tcBorders>
            <w:shd w:val="clear" w:color="auto" w:fill="auto"/>
            <w:vAlign w:val="center"/>
            <w:hideMark/>
          </w:tcPr>
          <w:p w14:paraId="00CE3C43"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50%</w:t>
            </w:r>
          </w:p>
        </w:tc>
        <w:tc>
          <w:tcPr>
            <w:tcW w:w="418" w:type="pct"/>
            <w:tcBorders>
              <w:top w:val="nil"/>
              <w:left w:val="nil"/>
              <w:bottom w:val="single" w:sz="4" w:space="0" w:color="auto"/>
              <w:right w:val="single" w:sz="4" w:space="0" w:color="auto"/>
            </w:tcBorders>
            <w:shd w:val="clear" w:color="auto" w:fill="auto"/>
            <w:vAlign w:val="center"/>
            <w:hideMark/>
          </w:tcPr>
          <w:p w14:paraId="02EA83D4"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hideMark/>
          </w:tcPr>
          <w:p w14:paraId="79CFFE7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High</w:t>
            </w:r>
          </w:p>
        </w:tc>
        <w:tc>
          <w:tcPr>
            <w:tcW w:w="668" w:type="pct"/>
            <w:tcBorders>
              <w:top w:val="single" w:sz="4" w:space="0" w:color="auto"/>
              <w:left w:val="nil"/>
              <w:bottom w:val="single" w:sz="4" w:space="0" w:color="auto"/>
              <w:right w:val="single" w:sz="4" w:space="0" w:color="auto"/>
            </w:tcBorders>
          </w:tcPr>
          <w:p w14:paraId="3B611CE0"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Extent of impact may differ depending on specific legal risk – e.g., in some cases it may result in delay of project start, in other cases – it may result of failed project and interrupted operations. </w:t>
            </w:r>
          </w:p>
        </w:tc>
        <w:tc>
          <w:tcPr>
            <w:tcW w:w="671" w:type="pct"/>
            <w:tcBorders>
              <w:top w:val="nil"/>
              <w:left w:val="nil"/>
              <w:bottom w:val="single" w:sz="4" w:space="0" w:color="auto"/>
              <w:right w:val="single" w:sz="4" w:space="0" w:color="auto"/>
            </w:tcBorders>
            <w:shd w:val="clear" w:color="auto" w:fill="auto"/>
            <w:vAlign w:val="center"/>
            <w:hideMark/>
          </w:tcPr>
          <w:p w14:paraId="113B07A0"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 xml:space="preserve">1. Independent third party (consultants) to provide technical support to draft PPP contract. </w:t>
            </w:r>
          </w:p>
          <w:p w14:paraId="20A03A8D"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2. Draft contract consulted with market participants.</w:t>
            </w:r>
          </w:p>
          <w:p w14:paraId="3DF2FA41"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 xml:space="preserve">3. Relevant </w:t>
            </w:r>
            <w:proofErr w:type="spellStart"/>
            <w:r w:rsidRPr="00950AB2">
              <w:rPr>
                <w:rFonts w:cs="Arial"/>
                <w:color w:val="000000"/>
                <w:sz w:val="18"/>
                <w:szCs w:val="18"/>
                <w:lang w:val="en-GB"/>
              </w:rPr>
              <w:t>GoA</w:t>
            </w:r>
            <w:proofErr w:type="spellEnd"/>
            <w:r w:rsidRPr="00950AB2">
              <w:rPr>
                <w:rFonts w:cs="Arial"/>
                <w:color w:val="000000"/>
                <w:sz w:val="18"/>
                <w:szCs w:val="18"/>
                <w:lang w:val="en-GB"/>
              </w:rPr>
              <w:t xml:space="preserve"> bodies (according to PPP regulation) to delegate competent government specialists to cooperate and participate in contract drafting and review,</w:t>
            </w:r>
          </w:p>
        </w:tc>
      </w:tr>
      <w:tr w:rsidR="006518A7" w:rsidRPr="00AD0677" w14:paraId="741D953E"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28503F25"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7.</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2993334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Inadequate design of the project</w:t>
            </w:r>
          </w:p>
        </w:tc>
        <w:tc>
          <w:tcPr>
            <w:tcW w:w="1223" w:type="pct"/>
            <w:tcBorders>
              <w:top w:val="nil"/>
              <w:left w:val="nil"/>
              <w:bottom w:val="single" w:sz="4" w:space="0" w:color="auto"/>
              <w:right w:val="single" w:sz="4" w:space="0" w:color="auto"/>
            </w:tcBorders>
            <w:shd w:val="clear" w:color="auto" w:fill="auto"/>
            <w:vAlign w:val="center"/>
            <w:hideMark/>
          </w:tcPr>
          <w:p w14:paraId="0F23E80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The design of the project might be inadequate in terms of facilities, assets, equipment, operations, technology selection, etc. The Public partner usually aims to set a broad output driven specification in the tender documents, requiring the Private Partner to design and build the project in a way which satisfies the performance specifications and ensures compliance with applicable legal requirements, good industry practice standards and, where applicable, minimum quality standards. This allows for private sector innovation and efficiency gains in the design. With this approach, the Private Partner will have principal responsibility for adequacy of the design of the system and its compliance with the output / performance specification.</w:t>
            </w:r>
          </w:p>
        </w:tc>
        <w:tc>
          <w:tcPr>
            <w:tcW w:w="356" w:type="pct"/>
            <w:tcBorders>
              <w:top w:val="nil"/>
              <w:left w:val="nil"/>
              <w:bottom w:val="single" w:sz="4" w:space="0" w:color="auto"/>
              <w:right w:val="single" w:sz="4" w:space="0" w:color="auto"/>
            </w:tcBorders>
            <w:shd w:val="clear" w:color="auto" w:fill="auto"/>
            <w:vAlign w:val="center"/>
            <w:hideMark/>
          </w:tcPr>
          <w:p w14:paraId="6F89A404"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25%</w:t>
            </w:r>
          </w:p>
        </w:tc>
        <w:tc>
          <w:tcPr>
            <w:tcW w:w="344" w:type="pct"/>
            <w:tcBorders>
              <w:top w:val="nil"/>
              <w:left w:val="nil"/>
              <w:bottom w:val="single" w:sz="4" w:space="0" w:color="auto"/>
              <w:right w:val="single" w:sz="4" w:space="0" w:color="auto"/>
            </w:tcBorders>
            <w:shd w:val="clear" w:color="auto" w:fill="auto"/>
            <w:vAlign w:val="center"/>
            <w:hideMark/>
          </w:tcPr>
          <w:p w14:paraId="0E662C3C"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75%</w:t>
            </w:r>
          </w:p>
        </w:tc>
        <w:tc>
          <w:tcPr>
            <w:tcW w:w="418" w:type="pct"/>
            <w:tcBorders>
              <w:top w:val="nil"/>
              <w:left w:val="nil"/>
              <w:bottom w:val="single" w:sz="4" w:space="0" w:color="auto"/>
              <w:right w:val="single" w:sz="4" w:space="0" w:color="auto"/>
            </w:tcBorders>
            <w:shd w:val="clear" w:color="auto" w:fill="auto"/>
            <w:vAlign w:val="center"/>
            <w:hideMark/>
          </w:tcPr>
          <w:p w14:paraId="00BBBA2A"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hideMark/>
          </w:tcPr>
          <w:p w14:paraId="3CE191DC"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High</w:t>
            </w:r>
          </w:p>
        </w:tc>
        <w:tc>
          <w:tcPr>
            <w:tcW w:w="668" w:type="pct"/>
            <w:tcBorders>
              <w:top w:val="single" w:sz="4" w:space="0" w:color="auto"/>
              <w:left w:val="nil"/>
              <w:bottom w:val="single" w:sz="4" w:space="0" w:color="auto"/>
              <w:right w:val="single" w:sz="4" w:space="0" w:color="auto"/>
            </w:tcBorders>
          </w:tcPr>
          <w:p w14:paraId="34A56C0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Inadequate design may lead to increased costs (e.g., inefficient processes, technology selected, design of geographical network), failures to meet SLAs (resulting in reduction of revenues). </w:t>
            </w:r>
          </w:p>
          <w:p w14:paraId="492E3C4F" w14:textId="77777777" w:rsidR="006518A7" w:rsidRPr="00950AB2" w:rsidRDefault="006518A7" w:rsidP="00C64796">
            <w:pPr>
              <w:jc w:val="left"/>
              <w:rPr>
                <w:rFonts w:cs="Arial"/>
                <w:color w:val="000000"/>
                <w:sz w:val="18"/>
                <w:szCs w:val="18"/>
                <w:lang w:val="en-GB"/>
              </w:rPr>
            </w:pPr>
          </w:p>
          <w:p w14:paraId="0DCC6E8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The Public partner should bear the risk of technical information provided by it proving inaccurate to the extent the Private Partner was allowed to rely on it for design purposes. If such risk is realized, it may </w:t>
            </w:r>
            <w:r w:rsidRPr="00950AB2">
              <w:rPr>
                <w:rFonts w:cs="Arial"/>
                <w:color w:val="000000"/>
                <w:sz w:val="18"/>
                <w:szCs w:val="18"/>
                <w:lang w:val="en-GB"/>
              </w:rPr>
              <w:lastRenderedPageBreak/>
              <w:t>result in compensation event.</w:t>
            </w:r>
          </w:p>
        </w:tc>
        <w:tc>
          <w:tcPr>
            <w:tcW w:w="671" w:type="pct"/>
            <w:tcBorders>
              <w:top w:val="nil"/>
              <w:left w:val="nil"/>
              <w:bottom w:val="single" w:sz="4" w:space="0" w:color="auto"/>
              <w:right w:val="single" w:sz="4" w:space="0" w:color="auto"/>
            </w:tcBorders>
            <w:shd w:val="clear" w:color="auto" w:fill="auto"/>
            <w:vAlign w:val="center"/>
            <w:hideMark/>
          </w:tcPr>
          <w:p w14:paraId="32DADDAC"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lastRenderedPageBreak/>
              <w:t>1. Technical requirements will be provided for the market consultation with potential bidders.</w:t>
            </w:r>
          </w:p>
          <w:p w14:paraId="1176E488"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2. Bidders will be requested to provide preliminary designs during the tender process.</w:t>
            </w:r>
          </w:p>
          <w:p w14:paraId="1929EF1B" w14:textId="77777777" w:rsidR="006518A7" w:rsidRPr="00950AB2" w:rsidRDefault="006518A7" w:rsidP="00C64796">
            <w:pPr>
              <w:rPr>
                <w:rFonts w:cs="Arial"/>
                <w:color w:val="000000"/>
                <w:sz w:val="18"/>
                <w:szCs w:val="18"/>
                <w:lang w:val="en-GB"/>
              </w:rPr>
            </w:pPr>
          </w:p>
          <w:p w14:paraId="78C68D09" w14:textId="77777777" w:rsidR="006518A7" w:rsidRPr="00950AB2" w:rsidRDefault="006518A7" w:rsidP="00C64796">
            <w:pPr>
              <w:rPr>
                <w:rFonts w:cs="Arial"/>
                <w:color w:val="000000"/>
                <w:sz w:val="18"/>
                <w:szCs w:val="18"/>
                <w:lang w:val="en-GB"/>
              </w:rPr>
            </w:pPr>
          </w:p>
        </w:tc>
      </w:tr>
      <w:tr w:rsidR="006518A7" w:rsidRPr="00AD0677" w14:paraId="7E79BF04"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tcPr>
          <w:p w14:paraId="2DF358D8"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8.</w:t>
            </w:r>
          </w:p>
        </w:tc>
        <w:tc>
          <w:tcPr>
            <w:tcW w:w="777" w:type="pct"/>
            <w:tcBorders>
              <w:top w:val="nil"/>
              <w:left w:val="nil"/>
              <w:bottom w:val="single" w:sz="4" w:space="0" w:color="auto"/>
              <w:right w:val="single" w:sz="4" w:space="0" w:color="auto"/>
            </w:tcBorders>
            <w:shd w:val="clear" w:color="000000" w:fill="E7E6E6"/>
            <w:vAlign w:val="center"/>
          </w:tcPr>
          <w:p w14:paraId="6BA430E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Technical obsolescence risk</w:t>
            </w:r>
          </w:p>
        </w:tc>
        <w:tc>
          <w:tcPr>
            <w:tcW w:w="1223" w:type="pct"/>
            <w:tcBorders>
              <w:top w:val="nil"/>
              <w:left w:val="nil"/>
              <w:bottom w:val="single" w:sz="4" w:space="0" w:color="auto"/>
              <w:right w:val="single" w:sz="4" w:space="0" w:color="auto"/>
            </w:tcBorders>
            <w:shd w:val="clear" w:color="auto" w:fill="auto"/>
            <w:vAlign w:val="center"/>
          </w:tcPr>
          <w:p w14:paraId="14F5175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Certain technical infrastructure becoming inadequate for the purpose of the service — or the service becoming poorer in comparison with more recent services being provided </w:t>
            </w:r>
            <w:proofErr w:type="gramStart"/>
            <w:r w:rsidRPr="00950AB2">
              <w:rPr>
                <w:rFonts w:cs="Arial"/>
                <w:color w:val="000000"/>
                <w:sz w:val="18"/>
                <w:szCs w:val="18"/>
                <w:lang w:val="en-GB"/>
              </w:rPr>
              <w:t>in the course of</w:t>
            </w:r>
            <w:proofErr w:type="gramEnd"/>
            <w:r w:rsidRPr="00950AB2">
              <w:rPr>
                <w:rFonts w:cs="Arial"/>
                <w:color w:val="000000"/>
                <w:sz w:val="18"/>
                <w:szCs w:val="18"/>
                <w:lang w:val="en-GB"/>
              </w:rPr>
              <w:t xml:space="preserve"> the project.</w:t>
            </w:r>
          </w:p>
        </w:tc>
        <w:tc>
          <w:tcPr>
            <w:tcW w:w="356" w:type="pct"/>
            <w:tcBorders>
              <w:top w:val="nil"/>
              <w:left w:val="nil"/>
              <w:bottom w:val="single" w:sz="4" w:space="0" w:color="auto"/>
              <w:right w:val="single" w:sz="4" w:space="0" w:color="auto"/>
            </w:tcBorders>
            <w:shd w:val="clear" w:color="auto" w:fill="auto"/>
            <w:vAlign w:val="center"/>
          </w:tcPr>
          <w:p w14:paraId="198D1D2E" w14:textId="77777777" w:rsidR="006518A7" w:rsidRPr="00950AB2" w:rsidRDefault="006518A7" w:rsidP="00C64796">
            <w:pPr>
              <w:jc w:val="right"/>
              <w:rPr>
                <w:rFonts w:cs="Arial"/>
                <w:color w:val="000000"/>
                <w:sz w:val="18"/>
                <w:szCs w:val="18"/>
              </w:rPr>
            </w:pPr>
            <w:r w:rsidRPr="00950AB2">
              <w:rPr>
                <w:rFonts w:cs="Arial"/>
                <w:color w:val="000000"/>
                <w:sz w:val="18"/>
                <w:szCs w:val="18"/>
                <w:lang w:val="en-GB"/>
              </w:rPr>
              <w:t xml:space="preserve">0 </w:t>
            </w:r>
            <w:r w:rsidRPr="00950AB2">
              <w:rPr>
                <w:rFonts w:cs="Arial"/>
                <w:color w:val="000000"/>
                <w:sz w:val="18"/>
                <w:szCs w:val="18"/>
              </w:rPr>
              <w:t>%</w:t>
            </w:r>
          </w:p>
        </w:tc>
        <w:tc>
          <w:tcPr>
            <w:tcW w:w="344" w:type="pct"/>
            <w:tcBorders>
              <w:top w:val="nil"/>
              <w:left w:val="nil"/>
              <w:bottom w:val="single" w:sz="4" w:space="0" w:color="auto"/>
              <w:right w:val="single" w:sz="4" w:space="0" w:color="auto"/>
            </w:tcBorders>
            <w:shd w:val="clear" w:color="auto" w:fill="auto"/>
            <w:vAlign w:val="center"/>
          </w:tcPr>
          <w:p w14:paraId="55A52681"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100 %</w:t>
            </w:r>
          </w:p>
        </w:tc>
        <w:tc>
          <w:tcPr>
            <w:tcW w:w="418" w:type="pct"/>
            <w:tcBorders>
              <w:top w:val="nil"/>
              <w:left w:val="nil"/>
              <w:bottom w:val="single" w:sz="4" w:space="0" w:color="auto"/>
              <w:right w:val="single" w:sz="4" w:space="0" w:color="auto"/>
            </w:tcBorders>
            <w:shd w:val="clear" w:color="auto" w:fill="auto"/>
            <w:vAlign w:val="center"/>
          </w:tcPr>
          <w:p w14:paraId="3BC316EE"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tcPr>
          <w:p w14:paraId="465369CC"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090E9FF0"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This may impact efficiency of operations of the Private Partner and thus reduce NPV.</w:t>
            </w:r>
          </w:p>
          <w:p w14:paraId="111A721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A</w:t>
            </w:r>
            <w:r>
              <w:rPr>
                <w:rFonts w:cs="Arial"/>
                <w:color w:val="000000"/>
                <w:sz w:val="18"/>
                <w:szCs w:val="18"/>
                <w:lang w:val="en-GB"/>
              </w:rPr>
              <w:t>t the</w:t>
            </w:r>
            <w:r w:rsidRPr="00950AB2">
              <w:rPr>
                <w:rFonts w:cs="Arial"/>
                <w:color w:val="000000"/>
                <w:sz w:val="18"/>
                <w:szCs w:val="18"/>
                <w:lang w:val="en-GB"/>
              </w:rPr>
              <w:t xml:space="preserve"> hand over stage, technically obsolete infrastructure would impact efficiency of future operations of the government, </w:t>
            </w:r>
          </w:p>
        </w:tc>
        <w:tc>
          <w:tcPr>
            <w:tcW w:w="671" w:type="pct"/>
            <w:tcBorders>
              <w:top w:val="nil"/>
              <w:left w:val="nil"/>
              <w:bottom w:val="single" w:sz="4" w:space="0" w:color="auto"/>
              <w:right w:val="single" w:sz="4" w:space="0" w:color="auto"/>
            </w:tcBorders>
            <w:shd w:val="clear" w:color="auto" w:fill="auto"/>
            <w:vAlign w:val="center"/>
          </w:tcPr>
          <w:p w14:paraId="549B90E6"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1. Requirements for hand over included in the technical requirements and / or Contract to oblige that infrastructure hand over to the Government is in a good shape (specific requirement to define a good shape to be included).</w:t>
            </w:r>
          </w:p>
          <w:p w14:paraId="6F12ABE2"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2. Contract provide clauses to negotiate introduction of new requirements for additional fees.</w:t>
            </w:r>
          </w:p>
          <w:p w14:paraId="3A58DF42" w14:textId="77777777" w:rsidR="006518A7" w:rsidRPr="00950AB2" w:rsidRDefault="006518A7" w:rsidP="00C64796">
            <w:pPr>
              <w:rPr>
                <w:rFonts w:cs="Arial"/>
                <w:color w:val="000000"/>
                <w:sz w:val="18"/>
                <w:szCs w:val="18"/>
                <w:lang w:val="en-GB"/>
              </w:rPr>
            </w:pPr>
          </w:p>
        </w:tc>
      </w:tr>
      <w:tr w:rsidR="006518A7" w:rsidRPr="00AD0677" w14:paraId="2E50D17F"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tcPr>
          <w:p w14:paraId="1FA1E6B4"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9.</w:t>
            </w:r>
          </w:p>
        </w:tc>
        <w:tc>
          <w:tcPr>
            <w:tcW w:w="777" w:type="pct"/>
            <w:tcBorders>
              <w:top w:val="nil"/>
              <w:left w:val="nil"/>
              <w:bottom w:val="single" w:sz="4" w:space="0" w:color="auto"/>
              <w:right w:val="single" w:sz="4" w:space="0" w:color="auto"/>
            </w:tcBorders>
            <w:shd w:val="clear" w:color="000000" w:fill="E7E6E6"/>
            <w:vAlign w:val="center"/>
          </w:tcPr>
          <w:p w14:paraId="211C50BF"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Innovation risk</w:t>
            </w:r>
          </w:p>
        </w:tc>
        <w:tc>
          <w:tcPr>
            <w:tcW w:w="1223" w:type="pct"/>
            <w:tcBorders>
              <w:top w:val="nil"/>
              <w:left w:val="nil"/>
              <w:bottom w:val="single" w:sz="4" w:space="0" w:color="auto"/>
              <w:right w:val="single" w:sz="4" w:space="0" w:color="auto"/>
            </w:tcBorders>
            <w:shd w:val="clear" w:color="auto" w:fill="auto"/>
            <w:vAlign w:val="center"/>
          </w:tcPr>
          <w:p w14:paraId="5652828E" w14:textId="77777777" w:rsidR="006518A7" w:rsidRPr="00950AB2" w:rsidRDefault="006518A7" w:rsidP="00C64796">
            <w:pPr>
              <w:pBdr>
                <w:top w:val="single" w:sz="2" w:space="0" w:color="D9D9E3"/>
                <w:left w:val="single" w:sz="2" w:space="0" w:color="D9D9E3"/>
                <w:bottom w:val="single" w:sz="2" w:space="0" w:color="D9D9E3"/>
                <w:right w:val="single" w:sz="2" w:space="0" w:color="D9D9E3"/>
              </w:pBdr>
              <w:jc w:val="left"/>
              <w:rPr>
                <w:rFonts w:cs="Arial"/>
                <w:color w:val="000000"/>
                <w:sz w:val="18"/>
                <w:szCs w:val="18"/>
                <w:lang w:val="en-GB"/>
              </w:rPr>
            </w:pPr>
            <w:r w:rsidRPr="00950AB2">
              <w:rPr>
                <w:rFonts w:cs="Arial"/>
                <w:color w:val="000000"/>
                <w:sz w:val="18"/>
                <w:szCs w:val="18"/>
                <w:lang w:val="en-GB"/>
              </w:rPr>
              <w:t>Innovation risk refers to the potential financial and operational consequences of pursuing new ideas, technologies, or business models. It is the risk associated with the uncertainty and unpredictability of the outcome of innovation efforts.</w:t>
            </w:r>
          </w:p>
          <w:p w14:paraId="36677341" w14:textId="77777777" w:rsidR="006518A7" w:rsidRPr="00950AB2" w:rsidRDefault="006518A7" w:rsidP="00C64796">
            <w:pPr>
              <w:pBdr>
                <w:top w:val="single" w:sz="2" w:space="0" w:color="D9D9E3"/>
                <w:left w:val="single" w:sz="2" w:space="0" w:color="D9D9E3"/>
                <w:bottom w:val="single" w:sz="2" w:space="0" w:color="D9D9E3"/>
                <w:right w:val="single" w:sz="2" w:space="0" w:color="D9D9E3"/>
              </w:pBdr>
              <w:spacing w:before="300"/>
              <w:jc w:val="left"/>
              <w:rPr>
                <w:rFonts w:cs="Arial"/>
                <w:color w:val="000000"/>
                <w:sz w:val="18"/>
                <w:szCs w:val="18"/>
                <w:lang w:val="en-GB"/>
              </w:rPr>
            </w:pPr>
            <w:r w:rsidRPr="00950AB2">
              <w:rPr>
                <w:rFonts w:cs="Arial"/>
                <w:color w:val="000000"/>
                <w:sz w:val="18"/>
                <w:szCs w:val="18"/>
                <w:lang w:val="en-GB"/>
              </w:rPr>
              <w:t>Innovation involves developing new products, services, or processes that are not currently in the market or improving existing ones. When companies pursue innovation, they must invest time, resources, and money in research and development, which can be costly and time-consuming. Additionally, there is no guarantee that the innovations will be successful, leading to a potential loss of resources and investment</w:t>
            </w:r>
          </w:p>
        </w:tc>
        <w:tc>
          <w:tcPr>
            <w:tcW w:w="356" w:type="pct"/>
            <w:tcBorders>
              <w:top w:val="nil"/>
              <w:left w:val="nil"/>
              <w:bottom w:val="single" w:sz="4" w:space="0" w:color="auto"/>
              <w:right w:val="single" w:sz="4" w:space="0" w:color="auto"/>
            </w:tcBorders>
            <w:shd w:val="clear" w:color="auto" w:fill="auto"/>
            <w:vAlign w:val="center"/>
          </w:tcPr>
          <w:p w14:paraId="39BD4D25"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 xml:space="preserve">0 </w:t>
            </w:r>
            <w:r w:rsidRPr="00950AB2">
              <w:rPr>
                <w:rFonts w:cs="Arial"/>
                <w:color w:val="000000"/>
                <w:sz w:val="18"/>
                <w:szCs w:val="18"/>
              </w:rPr>
              <w:t>%</w:t>
            </w:r>
          </w:p>
        </w:tc>
        <w:tc>
          <w:tcPr>
            <w:tcW w:w="344" w:type="pct"/>
            <w:tcBorders>
              <w:top w:val="nil"/>
              <w:left w:val="nil"/>
              <w:bottom w:val="single" w:sz="4" w:space="0" w:color="auto"/>
              <w:right w:val="single" w:sz="4" w:space="0" w:color="auto"/>
            </w:tcBorders>
            <w:shd w:val="clear" w:color="auto" w:fill="auto"/>
            <w:vAlign w:val="center"/>
          </w:tcPr>
          <w:p w14:paraId="2E4557B0"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100 %</w:t>
            </w:r>
          </w:p>
        </w:tc>
        <w:tc>
          <w:tcPr>
            <w:tcW w:w="418" w:type="pct"/>
            <w:tcBorders>
              <w:top w:val="nil"/>
              <w:left w:val="nil"/>
              <w:bottom w:val="single" w:sz="4" w:space="0" w:color="auto"/>
              <w:right w:val="single" w:sz="4" w:space="0" w:color="auto"/>
            </w:tcBorders>
            <w:shd w:val="clear" w:color="auto" w:fill="auto"/>
            <w:vAlign w:val="center"/>
          </w:tcPr>
          <w:p w14:paraId="3541CD3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tcPr>
          <w:p w14:paraId="386A550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vAlign w:val="center"/>
          </w:tcPr>
          <w:p w14:paraId="624CC129"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This may impact efficiency of operations of the Private Partner and thus reduce NPV.</w:t>
            </w:r>
          </w:p>
        </w:tc>
        <w:tc>
          <w:tcPr>
            <w:tcW w:w="671" w:type="pct"/>
            <w:tcBorders>
              <w:top w:val="nil"/>
              <w:left w:val="nil"/>
              <w:bottom w:val="single" w:sz="4" w:space="0" w:color="auto"/>
              <w:right w:val="single" w:sz="4" w:space="0" w:color="auto"/>
            </w:tcBorders>
            <w:shd w:val="clear" w:color="auto" w:fill="auto"/>
            <w:vAlign w:val="center"/>
          </w:tcPr>
          <w:p w14:paraId="1E9A1DE5"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 xml:space="preserve">1. Technical requirements formulated to </w:t>
            </w:r>
            <w:proofErr w:type="gramStart"/>
            <w:r w:rsidRPr="00950AB2">
              <w:rPr>
                <w:rFonts w:cs="Arial"/>
                <w:color w:val="000000"/>
                <w:sz w:val="18"/>
                <w:szCs w:val="18"/>
                <w:lang w:val="en-GB"/>
              </w:rPr>
              <w:t>take into account</w:t>
            </w:r>
            <w:proofErr w:type="gramEnd"/>
            <w:r w:rsidRPr="00950AB2">
              <w:rPr>
                <w:rFonts w:cs="Arial"/>
                <w:color w:val="000000"/>
                <w:sz w:val="18"/>
                <w:szCs w:val="18"/>
                <w:lang w:val="en-GB"/>
              </w:rPr>
              <w:t xml:space="preserve"> the technologies and other improvements in the operations that are mature and tested in the market.</w:t>
            </w:r>
          </w:p>
          <w:p w14:paraId="1979AFB0"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 xml:space="preserve">2. Market sounding with potential bidders to make sure technical requirements meet the global market standard and practices. </w:t>
            </w:r>
          </w:p>
          <w:p w14:paraId="6C55B014" w14:textId="77777777" w:rsidR="006518A7" w:rsidRPr="00950AB2" w:rsidRDefault="006518A7" w:rsidP="00C64796">
            <w:pPr>
              <w:rPr>
                <w:rFonts w:cs="Arial"/>
                <w:color w:val="000000"/>
                <w:sz w:val="18"/>
                <w:szCs w:val="18"/>
                <w:lang w:val="en-GB"/>
              </w:rPr>
            </w:pPr>
          </w:p>
        </w:tc>
      </w:tr>
      <w:tr w:rsidR="006518A7" w:rsidRPr="00AD0677" w14:paraId="3A05CB1D"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6D81D412"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lastRenderedPageBreak/>
              <w:t>10.</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28B195B3"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Inappropriate Project performance specifications</w:t>
            </w:r>
          </w:p>
        </w:tc>
        <w:tc>
          <w:tcPr>
            <w:tcW w:w="1223" w:type="pct"/>
            <w:tcBorders>
              <w:top w:val="nil"/>
              <w:left w:val="nil"/>
              <w:bottom w:val="single" w:sz="4" w:space="0" w:color="auto"/>
              <w:right w:val="single" w:sz="4" w:space="0" w:color="auto"/>
            </w:tcBorders>
            <w:shd w:val="clear" w:color="auto" w:fill="auto"/>
            <w:vAlign w:val="center"/>
            <w:hideMark/>
          </w:tcPr>
          <w:p w14:paraId="3FC8C1E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The performance of the Project might be projected unrealistically (i.e., impossible to reach)</w:t>
            </w:r>
          </w:p>
        </w:tc>
        <w:tc>
          <w:tcPr>
            <w:tcW w:w="356" w:type="pct"/>
            <w:tcBorders>
              <w:top w:val="nil"/>
              <w:left w:val="nil"/>
              <w:bottom w:val="single" w:sz="4" w:space="0" w:color="auto"/>
              <w:right w:val="single" w:sz="4" w:space="0" w:color="auto"/>
            </w:tcBorders>
            <w:shd w:val="clear" w:color="auto" w:fill="auto"/>
            <w:vAlign w:val="center"/>
            <w:hideMark/>
          </w:tcPr>
          <w:p w14:paraId="13C2A404"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25%</w:t>
            </w:r>
          </w:p>
        </w:tc>
        <w:tc>
          <w:tcPr>
            <w:tcW w:w="344" w:type="pct"/>
            <w:tcBorders>
              <w:top w:val="nil"/>
              <w:left w:val="nil"/>
              <w:bottom w:val="single" w:sz="4" w:space="0" w:color="auto"/>
              <w:right w:val="single" w:sz="4" w:space="0" w:color="auto"/>
            </w:tcBorders>
            <w:shd w:val="clear" w:color="auto" w:fill="auto"/>
            <w:vAlign w:val="center"/>
            <w:hideMark/>
          </w:tcPr>
          <w:p w14:paraId="2D1AE7AD"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75%</w:t>
            </w:r>
          </w:p>
        </w:tc>
        <w:tc>
          <w:tcPr>
            <w:tcW w:w="418" w:type="pct"/>
            <w:tcBorders>
              <w:top w:val="nil"/>
              <w:left w:val="nil"/>
              <w:bottom w:val="single" w:sz="4" w:space="0" w:color="auto"/>
              <w:right w:val="single" w:sz="4" w:space="0" w:color="auto"/>
            </w:tcBorders>
            <w:shd w:val="clear" w:color="auto" w:fill="auto"/>
            <w:vAlign w:val="center"/>
            <w:hideMark/>
          </w:tcPr>
          <w:p w14:paraId="7C36907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hideMark/>
          </w:tcPr>
          <w:p w14:paraId="545217E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6C6BC292"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Inappropriate Project performance specifications may result in Private Partner difficulty to meet defined SLA / contractual obligation, thus may result in reduced fees (revenues) for the Private Partner.</w:t>
            </w:r>
          </w:p>
          <w:p w14:paraId="7D144A14" w14:textId="77777777" w:rsidR="006518A7" w:rsidRPr="00950AB2" w:rsidRDefault="006518A7" w:rsidP="00C64796">
            <w:pPr>
              <w:jc w:val="left"/>
              <w:rPr>
                <w:rFonts w:cs="Arial"/>
                <w:color w:val="000000"/>
                <w:sz w:val="18"/>
                <w:szCs w:val="18"/>
                <w:lang w:val="en-GB"/>
              </w:rPr>
            </w:pPr>
          </w:p>
          <w:p w14:paraId="0E6AE8F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Also, inappropriate Project performance specifications (e.g., too high SLA requirements) may result in higher bid prices and increase cost of project for the Public Partner.</w:t>
            </w:r>
          </w:p>
          <w:p w14:paraId="3677FD69" w14:textId="77777777" w:rsidR="006518A7" w:rsidRPr="00950AB2" w:rsidRDefault="006518A7" w:rsidP="00C64796">
            <w:pPr>
              <w:jc w:val="left"/>
              <w:rPr>
                <w:rFonts w:cs="Arial"/>
                <w:color w:val="000000"/>
                <w:sz w:val="18"/>
                <w:szCs w:val="18"/>
                <w:lang w:val="en-GB"/>
              </w:rPr>
            </w:pPr>
          </w:p>
          <w:p w14:paraId="3441690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In some cases, performance of Private Party may result in inputs provided by the </w:t>
            </w:r>
            <w:proofErr w:type="gramStart"/>
            <w:r w:rsidRPr="00950AB2">
              <w:rPr>
                <w:rFonts w:cs="Arial"/>
                <w:color w:val="000000"/>
                <w:sz w:val="18"/>
                <w:szCs w:val="18"/>
                <w:lang w:val="en-GB"/>
              </w:rPr>
              <w:t>Public</w:t>
            </w:r>
            <w:proofErr w:type="gramEnd"/>
            <w:r w:rsidRPr="00950AB2">
              <w:rPr>
                <w:rFonts w:cs="Arial"/>
                <w:color w:val="000000"/>
                <w:sz w:val="18"/>
                <w:szCs w:val="18"/>
                <w:lang w:val="en-GB"/>
              </w:rPr>
              <w:t xml:space="preserve"> partner. In such cases, reduction of fees for not meeting SLAs shall not be applied. </w:t>
            </w:r>
          </w:p>
        </w:tc>
        <w:tc>
          <w:tcPr>
            <w:tcW w:w="671" w:type="pct"/>
            <w:tcBorders>
              <w:top w:val="nil"/>
              <w:left w:val="nil"/>
              <w:bottom w:val="single" w:sz="4" w:space="0" w:color="auto"/>
              <w:right w:val="single" w:sz="4" w:space="0" w:color="auto"/>
            </w:tcBorders>
            <w:shd w:val="clear" w:color="auto" w:fill="auto"/>
            <w:vAlign w:val="center"/>
            <w:hideMark/>
          </w:tcPr>
          <w:p w14:paraId="2B6E1AC5"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Market consultation with potential bidders.</w:t>
            </w:r>
          </w:p>
        </w:tc>
      </w:tr>
      <w:tr w:rsidR="006518A7" w:rsidRPr="00AD0677" w14:paraId="24A882E0" w14:textId="77777777" w:rsidTr="006518A7">
        <w:trPr>
          <w:trHeight w:val="876"/>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0B4DDF52"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11.</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457D00B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Delay in Project completion</w:t>
            </w:r>
          </w:p>
        </w:tc>
        <w:tc>
          <w:tcPr>
            <w:tcW w:w="1223" w:type="pct"/>
            <w:tcBorders>
              <w:top w:val="nil"/>
              <w:left w:val="nil"/>
              <w:bottom w:val="single" w:sz="4" w:space="0" w:color="auto"/>
              <w:right w:val="single" w:sz="4" w:space="0" w:color="auto"/>
            </w:tcBorders>
            <w:shd w:val="clear" w:color="auto" w:fill="auto"/>
            <w:vAlign w:val="center"/>
            <w:hideMark/>
          </w:tcPr>
          <w:p w14:paraId="67914199"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The risks of design and construction are closely linked to the risk of commissioning the planned facilities on time and within the budget. Delays in delivering the project by the relevant works completion date as at financial close can have a variety of causes, such as unavailability of construction materials and equipment, </w:t>
            </w:r>
            <w:r w:rsidRPr="00950AB2">
              <w:rPr>
                <w:rFonts w:cs="Arial"/>
                <w:color w:val="000000"/>
                <w:sz w:val="18"/>
                <w:szCs w:val="18"/>
                <w:lang w:val="en-GB"/>
              </w:rPr>
              <w:lastRenderedPageBreak/>
              <w:t xml:space="preserve">delays in shipping, variations, and mistakes in programme scheduling, as well as weather events, civil unrest or industrial action and actions of the </w:t>
            </w:r>
            <w:proofErr w:type="gramStart"/>
            <w:r w:rsidRPr="00950AB2">
              <w:rPr>
                <w:rFonts w:cs="Arial"/>
                <w:color w:val="000000"/>
                <w:sz w:val="18"/>
                <w:szCs w:val="18"/>
                <w:lang w:val="en-GB"/>
              </w:rPr>
              <w:t>Public</w:t>
            </w:r>
            <w:proofErr w:type="gramEnd"/>
            <w:r w:rsidRPr="00950AB2">
              <w:rPr>
                <w:rFonts w:cs="Arial"/>
                <w:color w:val="000000"/>
                <w:sz w:val="18"/>
                <w:szCs w:val="18"/>
                <w:lang w:val="en-GB"/>
              </w:rPr>
              <w:t xml:space="preserve"> partner or government.</w:t>
            </w:r>
          </w:p>
          <w:p w14:paraId="4A8E719C"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The Private Partner typically assumes the risk of delays to the extent they are not caused by </w:t>
            </w:r>
            <w:r>
              <w:rPr>
                <w:rFonts w:cs="Arial"/>
                <w:color w:val="000000"/>
                <w:sz w:val="18"/>
                <w:szCs w:val="18"/>
                <w:lang w:val="en-GB"/>
              </w:rPr>
              <w:t xml:space="preserve">the </w:t>
            </w:r>
            <w:r w:rsidRPr="00950AB2">
              <w:rPr>
                <w:rFonts w:cs="Arial"/>
                <w:color w:val="000000"/>
                <w:sz w:val="18"/>
                <w:szCs w:val="18"/>
                <w:lang w:val="en-GB"/>
              </w:rPr>
              <w:t>Public Partne</w:t>
            </w:r>
            <w:r>
              <w:rPr>
                <w:rFonts w:cs="Arial"/>
                <w:color w:val="000000"/>
                <w:sz w:val="18"/>
                <w:szCs w:val="18"/>
                <w:lang w:val="en-GB"/>
              </w:rPr>
              <w:t>r’s</w:t>
            </w:r>
            <w:r w:rsidRPr="00950AB2">
              <w:rPr>
                <w:rFonts w:cs="Arial"/>
                <w:color w:val="000000"/>
                <w:sz w:val="18"/>
                <w:szCs w:val="18"/>
                <w:lang w:val="en-GB"/>
              </w:rPr>
              <w:t xml:space="preserve"> failure to meet commitments necessary to complete the Project.</w:t>
            </w:r>
            <w:r w:rsidRPr="00950AB2">
              <w:rPr>
                <w:rFonts w:cs="Arial"/>
                <w:lang w:val="en-GB"/>
              </w:rPr>
              <w:t xml:space="preserve"> </w:t>
            </w:r>
          </w:p>
        </w:tc>
        <w:tc>
          <w:tcPr>
            <w:tcW w:w="356" w:type="pct"/>
            <w:tcBorders>
              <w:top w:val="nil"/>
              <w:left w:val="nil"/>
              <w:bottom w:val="single" w:sz="4" w:space="0" w:color="auto"/>
              <w:right w:val="single" w:sz="4" w:space="0" w:color="auto"/>
            </w:tcBorders>
            <w:shd w:val="clear" w:color="auto" w:fill="auto"/>
            <w:vAlign w:val="center"/>
            <w:hideMark/>
          </w:tcPr>
          <w:p w14:paraId="55A93E25"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lastRenderedPageBreak/>
              <w:t>25%</w:t>
            </w:r>
          </w:p>
        </w:tc>
        <w:tc>
          <w:tcPr>
            <w:tcW w:w="344" w:type="pct"/>
            <w:tcBorders>
              <w:top w:val="nil"/>
              <w:left w:val="nil"/>
              <w:bottom w:val="single" w:sz="4" w:space="0" w:color="auto"/>
              <w:right w:val="single" w:sz="4" w:space="0" w:color="auto"/>
            </w:tcBorders>
            <w:shd w:val="clear" w:color="auto" w:fill="auto"/>
            <w:vAlign w:val="center"/>
            <w:hideMark/>
          </w:tcPr>
          <w:p w14:paraId="58C1EE6D"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75%</w:t>
            </w:r>
          </w:p>
        </w:tc>
        <w:tc>
          <w:tcPr>
            <w:tcW w:w="418" w:type="pct"/>
            <w:tcBorders>
              <w:top w:val="nil"/>
              <w:left w:val="nil"/>
              <w:bottom w:val="single" w:sz="4" w:space="0" w:color="auto"/>
              <w:right w:val="single" w:sz="4" w:space="0" w:color="auto"/>
            </w:tcBorders>
            <w:shd w:val="clear" w:color="auto" w:fill="auto"/>
            <w:vAlign w:val="center"/>
            <w:hideMark/>
          </w:tcPr>
          <w:p w14:paraId="22E4B56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hideMark/>
          </w:tcPr>
          <w:p w14:paraId="3B0FCFD0"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68A43C85" w14:textId="77777777" w:rsidR="006518A7" w:rsidRPr="00950AB2" w:rsidRDefault="006518A7" w:rsidP="00C64796">
            <w:pPr>
              <w:jc w:val="left"/>
              <w:rPr>
                <w:rFonts w:cs="Arial"/>
                <w:sz w:val="18"/>
                <w:szCs w:val="18"/>
                <w:lang w:val="en-GB"/>
              </w:rPr>
            </w:pPr>
            <w:r w:rsidRPr="00950AB2">
              <w:rPr>
                <w:rFonts w:cs="Arial"/>
                <w:sz w:val="18"/>
                <w:szCs w:val="18"/>
                <w:lang w:val="en-GB"/>
              </w:rPr>
              <w:t xml:space="preserve">The consequences for the Private Partner of delays to the relevant works completion date are loss of expected revenue due to </w:t>
            </w:r>
            <w:r>
              <w:rPr>
                <w:rFonts w:cs="Arial"/>
                <w:sz w:val="18"/>
                <w:szCs w:val="18"/>
                <w:lang w:val="en-GB"/>
              </w:rPr>
              <w:t xml:space="preserve">the </w:t>
            </w:r>
            <w:r w:rsidRPr="00950AB2">
              <w:rPr>
                <w:rFonts w:cs="Arial"/>
                <w:sz w:val="18"/>
                <w:szCs w:val="18"/>
                <w:lang w:val="en-GB"/>
              </w:rPr>
              <w:t xml:space="preserve">rise </w:t>
            </w:r>
            <w:r>
              <w:rPr>
                <w:rFonts w:cs="Arial"/>
                <w:sz w:val="18"/>
                <w:szCs w:val="18"/>
                <w:lang w:val="en-GB"/>
              </w:rPr>
              <w:t xml:space="preserve">of costs of </w:t>
            </w:r>
            <w:r>
              <w:rPr>
                <w:rFonts w:cs="Arial"/>
                <w:sz w:val="18"/>
                <w:szCs w:val="18"/>
                <w:lang w:val="en-GB"/>
              </w:rPr>
              <w:lastRenderedPageBreak/>
              <w:t>prolonged</w:t>
            </w:r>
            <w:r w:rsidRPr="00950AB2">
              <w:rPr>
                <w:rFonts w:cs="Arial"/>
                <w:sz w:val="18"/>
                <w:szCs w:val="18"/>
                <w:lang w:val="en-GB"/>
              </w:rPr>
              <w:t xml:space="preserve"> ongoing construction and financing costs. This may result in reduced project NPV.</w:t>
            </w:r>
          </w:p>
          <w:p w14:paraId="7FB2B1F9" w14:textId="77777777" w:rsidR="006518A7" w:rsidRPr="00950AB2" w:rsidRDefault="006518A7" w:rsidP="00C64796">
            <w:pPr>
              <w:jc w:val="left"/>
              <w:rPr>
                <w:rFonts w:cs="Arial"/>
                <w:sz w:val="18"/>
                <w:szCs w:val="18"/>
                <w:lang w:val="en-GB"/>
              </w:rPr>
            </w:pPr>
            <w:r w:rsidRPr="00950AB2">
              <w:rPr>
                <w:rFonts w:cs="Arial"/>
                <w:sz w:val="18"/>
                <w:szCs w:val="18"/>
                <w:lang w:val="en-GB"/>
              </w:rPr>
              <w:t xml:space="preserve">Until the Project is implemented, the Gov can operate as business as usual, however, in extreme cases, delays in Project completion may limit </w:t>
            </w:r>
            <w:proofErr w:type="spellStart"/>
            <w:r w:rsidRPr="00950AB2">
              <w:rPr>
                <w:rFonts w:cs="Arial"/>
                <w:sz w:val="18"/>
                <w:szCs w:val="18"/>
                <w:lang w:val="en-GB"/>
              </w:rPr>
              <w:t>GoA</w:t>
            </w:r>
            <w:proofErr w:type="spellEnd"/>
            <w:r w:rsidRPr="00950AB2">
              <w:rPr>
                <w:rFonts w:cs="Arial"/>
                <w:sz w:val="18"/>
                <w:szCs w:val="18"/>
                <w:lang w:val="en-GB"/>
              </w:rPr>
              <w:t xml:space="preserve"> ability to continue undisrupted operations (e.g., due to shortage of supplies).</w:t>
            </w:r>
          </w:p>
          <w:p w14:paraId="0562A0BC" w14:textId="77777777" w:rsidR="006518A7" w:rsidRPr="00950AB2" w:rsidRDefault="006518A7" w:rsidP="00C64796">
            <w:pPr>
              <w:jc w:val="left"/>
              <w:rPr>
                <w:rFonts w:cs="Arial"/>
                <w:sz w:val="18"/>
                <w:szCs w:val="18"/>
                <w:lang w:val="en-GB"/>
              </w:rPr>
            </w:pPr>
          </w:p>
          <w:p w14:paraId="33BD08C4" w14:textId="77777777" w:rsidR="006518A7" w:rsidRPr="00950AB2" w:rsidRDefault="006518A7" w:rsidP="00C64796">
            <w:pPr>
              <w:jc w:val="left"/>
              <w:rPr>
                <w:rFonts w:cs="Arial"/>
                <w:sz w:val="18"/>
                <w:szCs w:val="18"/>
                <w:lang w:val="en-GB"/>
              </w:rPr>
            </w:pPr>
            <w:r w:rsidRPr="00950AB2">
              <w:rPr>
                <w:rFonts w:cs="Arial"/>
                <w:sz w:val="18"/>
                <w:szCs w:val="18"/>
                <w:lang w:val="en-GB"/>
              </w:rPr>
              <w:t xml:space="preserve">Public Partner assumes the risks in cases when delay in project completion is due to the failed commitments of the </w:t>
            </w:r>
            <w:proofErr w:type="spellStart"/>
            <w:r w:rsidRPr="00950AB2">
              <w:rPr>
                <w:rFonts w:cs="Arial"/>
                <w:sz w:val="18"/>
                <w:szCs w:val="18"/>
                <w:lang w:val="en-GB"/>
              </w:rPr>
              <w:t>GoA</w:t>
            </w:r>
            <w:proofErr w:type="spellEnd"/>
            <w:r w:rsidRPr="00950AB2">
              <w:rPr>
                <w:rFonts w:cs="Arial"/>
                <w:sz w:val="18"/>
                <w:szCs w:val="18"/>
                <w:lang w:val="en-GB"/>
              </w:rPr>
              <w:t xml:space="preserve"> (e.g., to transfer facilities on agreed schedule, to provide esthetical design specification for document blanks). </w:t>
            </w:r>
          </w:p>
        </w:tc>
        <w:tc>
          <w:tcPr>
            <w:tcW w:w="671" w:type="pct"/>
            <w:tcBorders>
              <w:top w:val="nil"/>
              <w:left w:val="nil"/>
              <w:bottom w:val="single" w:sz="4" w:space="0" w:color="auto"/>
              <w:right w:val="single" w:sz="4" w:space="0" w:color="auto"/>
            </w:tcBorders>
            <w:shd w:val="clear" w:color="auto" w:fill="auto"/>
            <w:vAlign w:val="center"/>
            <w:hideMark/>
          </w:tcPr>
          <w:p w14:paraId="61CA3036"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lastRenderedPageBreak/>
              <w:t xml:space="preserve">Close monitoring of contract implementation by the Contract monitoring committee. </w:t>
            </w:r>
          </w:p>
        </w:tc>
      </w:tr>
      <w:tr w:rsidR="006518A7" w:rsidRPr="00AD0677" w14:paraId="2CCB981C" w14:textId="77777777" w:rsidTr="006518A7">
        <w:trPr>
          <w:trHeight w:val="684"/>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6FB19D7E"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12.</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0BF3EDFA"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Over-utilization of funds (costs overrun)</w:t>
            </w:r>
          </w:p>
        </w:tc>
        <w:tc>
          <w:tcPr>
            <w:tcW w:w="1223" w:type="pct"/>
            <w:tcBorders>
              <w:top w:val="nil"/>
              <w:left w:val="nil"/>
              <w:bottom w:val="single" w:sz="4" w:space="0" w:color="auto"/>
              <w:right w:val="single" w:sz="4" w:space="0" w:color="auto"/>
            </w:tcBorders>
            <w:shd w:val="clear" w:color="auto" w:fill="auto"/>
            <w:vAlign w:val="center"/>
            <w:hideMark/>
          </w:tcPr>
          <w:p w14:paraId="27FD4565"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The risks of design and construction are closely linked to the risk of commissioning the planned facilities on time and within the budget.</w:t>
            </w:r>
          </w:p>
          <w:p w14:paraId="3A5C08A9"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Over-utilization of funds (i.e., costs exceeding the construction costs assumed in the project’s financial model as at financial close) can have a variety of causes, such as mistakes in construction </w:t>
            </w:r>
            <w:r w:rsidRPr="00950AB2">
              <w:rPr>
                <w:rFonts w:cs="Arial"/>
                <w:color w:val="000000"/>
                <w:sz w:val="18"/>
                <w:szCs w:val="18"/>
                <w:lang w:val="en-GB"/>
              </w:rPr>
              <w:lastRenderedPageBreak/>
              <w:t xml:space="preserve">cost estimates, increased cost of materials, actions of the </w:t>
            </w:r>
            <w:proofErr w:type="gramStart"/>
            <w:r w:rsidRPr="00950AB2">
              <w:rPr>
                <w:rFonts w:cs="Arial"/>
                <w:color w:val="000000"/>
                <w:sz w:val="18"/>
                <w:szCs w:val="18"/>
                <w:lang w:val="en-GB"/>
              </w:rPr>
              <w:t>Public</w:t>
            </w:r>
            <w:proofErr w:type="gramEnd"/>
            <w:r w:rsidRPr="00950AB2">
              <w:rPr>
                <w:rFonts w:cs="Arial"/>
                <w:color w:val="000000"/>
                <w:sz w:val="18"/>
                <w:szCs w:val="18"/>
                <w:lang w:val="en-GB"/>
              </w:rPr>
              <w:t xml:space="preserve"> partner or government, variations, as well as delays in - or mitigating potential delays in - the construction programme.</w:t>
            </w:r>
          </w:p>
          <w:p w14:paraId="77C5147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The Private Partner typically assumes the risk of cost increases to the extent these are not caused by force majeure, compensation events (such as in relation to </w:t>
            </w:r>
            <w:proofErr w:type="spellStart"/>
            <w:r w:rsidRPr="00950AB2">
              <w:rPr>
                <w:rFonts w:cs="Arial"/>
                <w:color w:val="000000"/>
                <w:sz w:val="18"/>
                <w:szCs w:val="18"/>
                <w:lang w:val="en-GB"/>
              </w:rPr>
              <w:t>unsurveyed</w:t>
            </w:r>
            <w:proofErr w:type="spellEnd"/>
            <w:r w:rsidRPr="00950AB2">
              <w:rPr>
                <w:rFonts w:cs="Arial"/>
                <w:color w:val="000000"/>
                <w:sz w:val="18"/>
                <w:szCs w:val="18"/>
                <w:lang w:val="en-GB"/>
              </w:rPr>
              <w:t xml:space="preserve"> site conditions</w:t>
            </w:r>
            <w:proofErr w:type="gramStart"/>
            <w:r w:rsidRPr="00950AB2">
              <w:rPr>
                <w:rFonts w:cs="Arial"/>
                <w:color w:val="000000"/>
                <w:sz w:val="18"/>
                <w:szCs w:val="18"/>
                <w:lang w:val="en-GB"/>
              </w:rPr>
              <w:t>), and</w:t>
            </w:r>
            <w:proofErr w:type="gramEnd"/>
            <w:r w:rsidRPr="00950AB2">
              <w:rPr>
                <w:rFonts w:cs="Arial"/>
                <w:color w:val="000000"/>
                <w:sz w:val="18"/>
                <w:szCs w:val="18"/>
                <w:lang w:val="en-GB"/>
              </w:rPr>
              <w:t xml:space="preserve"> are not addressed through other bespoke provisions</w:t>
            </w:r>
            <w:r>
              <w:rPr>
                <w:rFonts w:cs="Arial"/>
                <w:color w:val="000000"/>
                <w:sz w:val="18"/>
                <w:szCs w:val="18"/>
                <w:lang w:val="en-GB"/>
              </w:rPr>
              <w:t>.</w:t>
            </w:r>
          </w:p>
        </w:tc>
        <w:tc>
          <w:tcPr>
            <w:tcW w:w="356" w:type="pct"/>
            <w:tcBorders>
              <w:top w:val="nil"/>
              <w:left w:val="nil"/>
              <w:bottom w:val="single" w:sz="4" w:space="0" w:color="auto"/>
              <w:right w:val="single" w:sz="4" w:space="0" w:color="auto"/>
            </w:tcBorders>
            <w:shd w:val="clear" w:color="auto" w:fill="auto"/>
            <w:vAlign w:val="center"/>
            <w:hideMark/>
          </w:tcPr>
          <w:p w14:paraId="5EAFB1C3"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lastRenderedPageBreak/>
              <w:t>25%</w:t>
            </w:r>
          </w:p>
        </w:tc>
        <w:tc>
          <w:tcPr>
            <w:tcW w:w="344" w:type="pct"/>
            <w:tcBorders>
              <w:top w:val="nil"/>
              <w:left w:val="nil"/>
              <w:bottom w:val="single" w:sz="4" w:space="0" w:color="auto"/>
              <w:right w:val="single" w:sz="4" w:space="0" w:color="auto"/>
            </w:tcBorders>
            <w:shd w:val="clear" w:color="auto" w:fill="auto"/>
            <w:vAlign w:val="center"/>
            <w:hideMark/>
          </w:tcPr>
          <w:p w14:paraId="15436214"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75%</w:t>
            </w:r>
          </w:p>
        </w:tc>
        <w:tc>
          <w:tcPr>
            <w:tcW w:w="418" w:type="pct"/>
            <w:tcBorders>
              <w:top w:val="nil"/>
              <w:left w:val="nil"/>
              <w:bottom w:val="single" w:sz="4" w:space="0" w:color="auto"/>
              <w:right w:val="single" w:sz="4" w:space="0" w:color="auto"/>
            </w:tcBorders>
            <w:shd w:val="clear" w:color="auto" w:fill="auto"/>
            <w:vAlign w:val="center"/>
            <w:hideMark/>
          </w:tcPr>
          <w:p w14:paraId="551663BE"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hideMark/>
          </w:tcPr>
          <w:p w14:paraId="56FD5EFE"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5132107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This may result in reduced project NPV for the Private Partner.</w:t>
            </w:r>
          </w:p>
          <w:p w14:paraId="08AF5990" w14:textId="77777777" w:rsidR="006518A7" w:rsidRPr="00950AB2" w:rsidRDefault="006518A7" w:rsidP="00C64796">
            <w:pPr>
              <w:jc w:val="left"/>
              <w:rPr>
                <w:rFonts w:cs="Arial"/>
                <w:color w:val="000000"/>
                <w:sz w:val="18"/>
                <w:szCs w:val="18"/>
                <w:lang w:val="en-GB"/>
              </w:rPr>
            </w:pPr>
          </w:p>
          <w:p w14:paraId="4A0BAE19" w14:textId="77777777" w:rsidR="006518A7" w:rsidRPr="00950AB2" w:rsidRDefault="006518A7" w:rsidP="00C64796">
            <w:pPr>
              <w:jc w:val="left"/>
              <w:rPr>
                <w:rFonts w:cs="Arial"/>
                <w:color w:val="000000"/>
                <w:sz w:val="18"/>
                <w:szCs w:val="18"/>
                <w:lang w:val="en-GB"/>
              </w:rPr>
            </w:pPr>
            <w:r w:rsidRPr="00950AB2">
              <w:rPr>
                <w:rFonts w:cs="Arial"/>
                <w:sz w:val="18"/>
                <w:szCs w:val="18"/>
                <w:lang w:val="en-GB"/>
              </w:rPr>
              <w:t xml:space="preserve">Public Partner assumes the risks in cases when cost-overrun </w:t>
            </w:r>
            <w:r w:rsidRPr="00950AB2">
              <w:rPr>
                <w:rFonts w:cs="Arial"/>
                <w:color w:val="000000"/>
                <w:sz w:val="18"/>
                <w:szCs w:val="18"/>
                <w:lang w:val="en-GB"/>
              </w:rPr>
              <w:t xml:space="preserve">is caused by </w:t>
            </w:r>
            <w:r w:rsidRPr="00950AB2">
              <w:rPr>
                <w:rFonts w:cs="Arial"/>
                <w:color w:val="000000"/>
                <w:sz w:val="18"/>
                <w:szCs w:val="18"/>
                <w:lang w:val="en-GB"/>
              </w:rPr>
              <w:lastRenderedPageBreak/>
              <w:t xml:space="preserve">the </w:t>
            </w:r>
            <w:r w:rsidRPr="00950AB2">
              <w:rPr>
                <w:rFonts w:cs="Arial"/>
                <w:sz w:val="18"/>
                <w:szCs w:val="18"/>
                <w:lang w:val="en-GB"/>
              </w:rPr>
              <w:t>Public Partner failure to meet their commitments (e.g., delays in project due to the fault of the Public Partner).</w:t>
            </w:r>
          </w:p>
        </w:tc>
        <w:tc>
          <w:tcPr>
            <w:tcW w:w="671" w:type="pct"/>
            <w:tcBorders>
              <w:top w:val="nil"/>
              <w:left w:val="nil"/>
              <w:bottom w:val="single" w:sz="4" w:space="0" w:color="auto"/>
              <w:right w:val="single" w:sz="4" w:space="0" w:color="auto"/>
            </w:tcBorders>
            <w:shd w:val="clear" w:color="auto" w:fill="auto"/>
            <w:vAlign w:val="center"/>
            <w:hideMark/>
          </w:tcPr>
          <w:p w14:paraId="79F35637" w14:textId="77777777" w:rsidR="006518A7" w:rsidRPr="00950AB2" w:rsidRDefault="006518A7" w:rsidP="00C64796">
            <w:pPr>
              <w:jc w:val="left"/>
              <w:rPr>
                <w:rFonts w:cs="Arial"/>
                <w:color w:val="000000"/>
                <w:sz w:val="18"/>
                <w:szCs w:val="18"/>
                <w:lang w:val="en-GB"/>
              </w:rPr>
            </w:pPr>
            <w:r>
              <w:rPr>
                <w:rFonts w:cs="Arial"/>
                <w:color w:val="000000"/>
                <w:sz w:val="18"/>
                <w:szCs w:val="18"/>
              </w:rPr>
              <w:lastRenderedPageBreak/>
              <w:t xml:space="preserve">1. </w:t>
            </w:r>
            <w:r w:rsidRPr="00950AB2">
              <w:rPr>
                <w:rFonts w:cs="Arial"/>
                <w:color w:val="000000"/>
                <w:sz w:val="18"/>
                <w:szCs w:val="18"/>
                <w:lang w:val="en-GB"/>
              </w:rPr>
              <w:t xml:space="preserve">Close monitoring of contract implementation by the Contract monitoring committee. </w:t>
            </w:r>
          </w:p>
          <w:p w14:paraId="073F7A63" w14:textId="77777777" w:rsidR="006518A7" w:rsidRPr="00950AB2" w:rsidRDefault="006518A7" w:rsidP="00C64796">
            <w:pPr>
              <w:jc w:val="left"/>
              <w:rPr>
                <w:rFonts w:cs="Arial"/>
                <w:color w:val="000000"/>
                <w:sz w:val="18"/>
                <w:szCs w:val="18"/>
                <w:lang w:val="en-GB"/>
              </w:rPr>
            </w:pPr>
            <w:r>
              <w:rPr>
                <w:rFonts w:cs="Arial"/>
                <w:color w:val="000000"/>
                <w:sz w:val="18"/>
                <w:szCs w:val="18"/>
                <w:lang w:val="en-GB"/>
              </w:rPr>
              <w:t xml:space="preserve">2. </w:t>
            </w:r>
            <w:r w:rsidRPr="00950AB2">
              <w:rPr>
                <w:rFonts w:cs="Arial"/>
                <w:color w:val="000000"/>
                <w:sz w:val="18"/>
                <w:szCs w:val="18"/>
                <w:lang w:val="en-GB"/>
              </w:rPr>
              <w:t>Fixed price contracts for supply of</w:t>
            </w:r>
          </w:p>
          <w:p w14:paraId="2946EBE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lastRenderedPageBreak/>
              <w:t>construction materials.</w:t>
            </w:r>
          </w:p>
          <w:p w14:paraId="20D5B346" w14:textId="77777777" w:rsidR="006518A7" w:rsidRPr="00950AB2" w:rsidRDefault="006518A7" w:rsidP="00C64796">
            <w:pPr>
              <w:jc w:val="left"/>
              <w:rPr>
                <w:rFonts w:cs="Arial"/>
                <w:color w:val="000000"/>
                <w:sz w:val="18"/>
                <w:szCs w:val="18"/>
                <w:lang w:val="en-GB"/>
              </w:rPr>
            </w:pPr>
            <w:r>
              <w:rPr>
                <w:rFonts w:cs="Arial"/>
                <w:color w:val="000000"/>
                <w:sz w:val="18"/>
                <w:szCs w:val="18"/>
                <w:lang w:val="en-GB"/>
              </w:rPr>
              <w:t xml:space="preserve">3. </w:t>
            </w:r>
            <w:r w:rsidRPr="00950AB2">
              <w:rPr>
                <w:rFonts w:cs="Arial"/>
                <w:color w:val="000000"/>
                <w:sz w:val="18"/>
                <w:szCs w:val="18"/>
                <w:lang w:val="en-GB"/>
              </w:rPr>
              <w:t>Contract provisions for contingencies.</w:t>
            </w:r>
          </w:p>
          <w:p w14:paraId="414B458B" w14:textId="77777777" w:rsidR="006518A7" w:rsidRDefault="006518A7" w:rsidP="00C64796">
            <w:pPr>
              <w:jc w:val="left"/>
              <w:rPr>
                <w:rFonts w:cs="Arial"/>
                <w:color w:val="000000"/>
                <w:sz w:val="18"/>
                <w:szCs w:val="18"/>
                <w:lang w:val="en-GB"/>
              </w:rPr>
            </w:pPr>
            <w:r>
              <w:rPr>
                <w:rFonts w:cs="Arial"/>
                <w:color w:val="000000"/>
                <w:sz w:val="18"/>
                <w:szCs w:val="18"/>
                <w:lang w:val="en-GB"/>
              </w:rPr>
              <w:t xml:space="preserve">4. </w:t>
            </w:r>
            <w:r w:rsidRPr="00950AB2">
              <w:rPr>
                <w:rFonts w:cs="Arial"/>
                <w:color w:val="000000"/>
                <w:sz w:val="18"/>
                <w:szCs w:val="18"/>
                <w:lang w:val="en-GB"/>
              </w:rPr>
              <w:t xml:space="preserve">In certain markets, risk is considered manageable by the Private Partner through robust </w:t>
            </w:r>
            <w:proofErr w:type="gramStart"/>
            <w:r w:rsidRPr="00950AB2">
              <w:rPr>
                <w:rFonts w:cs="Arial"/>
                <w:color w:val="000000"/>
                <w:sz w:val="18"/>
                <w:szCs w:val="18"/>
                <w:lang w:val="en-GB"/>
              </w:rPr>
              <w:t>pass through</w:t>
            </w:r>
            <w:proofErr w:type="gramEnd"/>
            <w:r w:rsidRPr="00950AB2">
              <w:rPr>
                <w:rFonts w:cs="Arial"/>
                <w:color w:val="000000"/>
                <w:sz w:val="18"/>
                <w:szCs w:val="18"/>
                <w:lang w:val="en-GB"/>
              </w:rPr>
              <w:t xml:space="preserve"> obligations to credible and experienced sub-contractors and by allowing appropriate timetable and budget contingency and obtaining appropriate security to the risk of non-performance.</w:t>
            </w:r>
          </w:p>
          <w:p w14:paraId="7FB7B96A" w14:textId="77777777" w:rsidR="006518A7" w:rsidRDefault="006518A7" w:rsidP="00C64796">
            <w:pPr>
              <w:jc w:val="left"/>
              <w:rPr>
                <w:rFonts w:cs="Arial"/>
                <w:color w:val="000000"/>
                <w:sz w:val="18"/>
                <w:szCs w:val="18"/>
                <w:lang w:val="en-GB"/>
              </w:rPr>
            </w:pPr>
            <w:r>
              <w:rPr>
                <w:rFonts w:cs="Arial"/>
                <w:color w:val="000000"/>
                <w:sz w:val="18"/>
                <w:szCs w:val="18"/>
                <w:lang w:val="en-GB"/>
              </w:rPr>
              <w:t xml:space="preserve">5. </w:t>
            </w:r>
            <w:r w:rsidRPr="00950AB2">
              <w:rPr>
                <w:rFonts w:cs="Arial"/>
                <w:color w:val="000000"/>
                <w:sz w:val="18"/>
                <w:szCs w:val="18"/>
                <w:lang w:val="en-GB"/>
              </w:rPr>
              <w:t>The Private Partner can mitigate the risk of sub-contractor non-performance by obtaining appropriate security from the sub-contractors (for example, parent company guarantees and/or performance bonds).</w:t>
            </w:r>
          </w:p>
          <w:p w14:paraId="46510221" w14:textId="77777777" w:rsidR="006518A7" w:rsidRPr="00950AB2" w:rsidRDefault="006518A7" w:rsidP="00C64796">
            <w:pPr>
              <w:jc w:val="left"/>
              <w:rPr>
                <w:rFonts w:cs="Arial"/>
                <w:color w:val="000000"/>
                <w:sz w:val="18"/>
                <w:szCs w:val="18"/>
                <w:lang w:val="en-GB"/>
              </w:rPr>
            </w:pPr>
            <w:r>
              <w:rPr>
                <w:rFonts w:cs="Arial"/>
                <w:color w:val="000000"/>
                <w:sz w:val="18"/>
                <w:szCs w:val="18"/>
                <w:lang w:val="en-GB"/>
              </w:rPr>
              <w:t xml:space="preserve">6. </w:t>
            </w:r>
            <w:r w:rsidRPr="00950AB2">
              <w:rPr>
                <w:rFonts w:cs="Arial"/>
                <w:color w:val="000000"/>
                <w:sz w:val="18"/>
                <w:szCs w:val="18"/>
                <w:lang w:val="en-GB"/>
              </w:rPr>
              <w:t>The Public partner may sometimes seek additional security itself to ensure such costs can be met.</w:t>
            </w:r>
          </w:p>
        </w:tc>
      </w:tr>
      <w:tr w:rsidR="006518A7" w:rsidRPr="00AD0677" w14:paraId="74D9AE4A"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19974822"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lastRenderedPageBreak/>
              <w:t>13.</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5BB711A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Availability and terms of use of assets</w:t>
            </w:r>
          </w:p>
        </w:tc>
        <w:tc>
          <w:tcPr>
            <w:tcW w:w="1223" w:type="pct"/>
            <w:tcBorders>
              <w:top w:val="nil"/>
              <w:left w:val="nil"/>
              <w:bottom w:val="single" w:sz="4" w:space="0" w:color="auto"/>
              <w:right w:val="single" w:sz="4" w:space="0" w:color="auto"/>
            </w:tcBorders>
            <w:shd w:val="clear" w:color="auto" w:fill="auto"/>
            <w:vAlign w:val="center"/>
            <w:hideMark/>
          </w:tcPr>
          <w:p w14:paraId="192CEA3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Risks related to the transfer to the Private Partner of the rights to manage / use the assets and / or land plots</w:t>
            </w:r>
          </w:p>
        </w:tc>
        <w:tc>
          <w:tcPr>
            <w:tcW w:w="356" w:type="pct"/>
            <w:tcBorders>
              <w:top w:val="nil"/>
              <w:left w:val="nil"/>
              <w:bottom w:val="single" w:sz="4" w:space="0" w:color="auto"/>
              <w:right w:val="single" w:sz="4" w:space="0" w:color="auto"/>
            </w:tcBorders>
            <w:shd w:val="clear" w:color="auto" w:fill="auto"/>
            <w:vAlign w:val="center"/>
            <w:hideMark/>
          </w:tcPr>
          <w:p w14:paraId="6B2222CF"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344" w:type="pct"/>
            <w:tcBorders>
              <w:top w:val="nil"/>
              <w:left w:val="nil"/>
              <w:bottom w:val="single" w:sz="4" w:space="0" w:color="auto"/>
              <w:right w:val="single" w:sz="4" w:space="0" w:color="auto"/>
            </w:tcBorders>
            <w:shd w:val="clear" w:color="auto" w:fill="auto"/>
            <w:vAlign w:val="center"/>
            <w:hideMark/>
          </w:tcPr>
          <w:p w14:paraId="179E4F72"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418" w:type="pct"/>
            <w:tcBorders>
              <w:top w:val="nil"/>
              <w:left w:val="nil"/>
              <w:bottom w:val="single" w:sz="4" w:space="0" w:color="auto"/>
              <w:right w:val="single" w:sz="4" w:space="0" w:color="auto"/>
            </w:tcBorders>
            <w:shd w:val="clear" w:color="auto" w:fill="auto"/>
            <w:vAlign w:val="center"/>
            <w:hideMark/>
          </w:tcPr>
          <w:p w14:paraId="2F5A7FCA"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hideMark/>
          </w:tcPr>
          <w:p w14:paraId="3DE524C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High</w:t>
            </w:r>
          </w:p>
        </w:tc>
        <w:tc>
          <w:tcPr>
            <w:tcW w:w="668" w:type="pct"/>
            <w:tcBorders>
              <w:top w:val="single" w:sz="4" w:space="0" w:color="auto"/>
              <w:left w:val="nil"/>
              <w:bottom w:val="single" w:sz="4" w:space="0" w:color="auto"/>
              <w:right w:val="single" w:sz="4" w:space="0" w:color="auto"/>
            </w:tcBorders>
            <w:vAlign w:val="center"/>
          </w:tcPr>
          <w:p w14:paraId="1AC0A935"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This may result in delay of project</w:t>
            </w:r>
          </w:p>
        </w:tc>
        <w:tc>
          <w:tcPr>
            <w:tcW w:w="671" w:type="pct"/>
            <w:tcBorders>
              <w:top w:val="nil"/>
              <w:left w:val="nil"/>
              <w:bottom w:val="single" w:sz="4" w:space="0" w:color="auto"/>
              <w:right w:val="single" w:sz="4" w:space="0" w:color="auto"/>
            </w:tcBorders>
            <w:shd w:val="clear" w:color="auto" w:fill="auto"/>
            <w:vAlign w:val="center"/>
            <w:hideMark/>
          </w:tcPr>
          <w:p w14:paraId="5837EF06"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 xml:space="preserve">Detailed analysis and preparation of transfer conditions in </w:t>
            </w:r>
            <w:r w:rsidRPr="00950AB2">
              <w:rPr>
                <w:rFonts w:cs="Arial"/>
                <w:color w:val="000000"/>
                <w:sz w:val="18"/>
                <w:szCs w:val="18"/>
                <w:lang w:val="en-GB"/>
              </w:rPr>
              <w:lastRenderedPageBreak/>
              <w:t>the stage of the PPP design.</w:t>
            </w:r>
          </w:p>
        </w:tc>
      </w:tr>
      <w:tr w:rsidR="006518A7" w:rsidRPr="00AD0677" w14:paraId="35A8469B"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tcPr>
          <w:p w14:paraId="32EFCC3F"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lastRenderedPageBreak/>
              <w:t>14.</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tcPr>
          <w:p w14:paraId="347B66E0"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Increased operating costs</w:t>
            </w:r>
          </w:p>
        </w:tc>
        <w:tc>
          <w:tcPr>
            <w:tcW w:w="1223" w:type="pct"/>
            <w:tcBorders>
              <w:top w:val="nil"/>
              <w:left w:val="nil"/>
              <w:bottom w:val="single" w:sz="4" w:space="0" w:color="auto"/>
              <w:right w:val="single" w:sz="4" w:space="0" w:color="auto"/>
            </w:tcBorders>
            <w:shd w:val="clear" w:color="auto" w:fill="auto"/>
            <w:vAlign w:val="center"/>
          </w:tcPr>
          <w:p w14:paraId="7D267EF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Incorrect assessment of future costs that might arise during the life cycle of the project. Increased costs and delays in the operating phase can have a variety of causes, ranging from mistakes in maintenance cost estimates or variations to extreme weather events. Aside from adjustments for inflation, the Private Partner broadly assumes the risk of events which inhibit performance and/or give rise to cost increases beyond modelled costs</w:t>
            </w:r>
            <w:r>
              <w:rPr>
                <w:rFonts w:cs="Arial"/>
                <w:color w:val="000000"/>
                <w:sz w:val="18"/>
                <w:szCs w:val="18"/>
                <w:lang w:val="en-GB"/>
              </w:rPr>
              <w:t xml:space="preserve"> (investor estimate at the time of the bid</w:t>
            </w:r>
            <w:proofErr w:type="gramStart"/>
            <w:r>
              <w:rPr>
                <w:rFonts w:cs="Arial"/>
                <w:color w:val="000000"/>
                <w:sz w:val="18"/>
                <w:szCs w:val="18"/>
                <w:lang w:val="en-GB"/>
              </w:rPr>
              <w:t xml:space="preserve">) </w:t>
            </w:r>
            <w:r w:rsidRPr="00950AB2">
              <w:rPr>
                <w:rFonts w:cs="Arial"/>
                <w:color w:val="000000"/>
                <w:sz w:val="18"/>
                <w:szCs w:val="18"/>
                <w:lang w:val="en-GB"/>
              </w:rPr>
              <w:t>,</w:t>
            </w:r>
            <w:proofErr w:type="gramEnd"/>
            <w:r w:rsidRPr="00950AB2">
              <w:rPr>
                <w:rFonts w:cs="Arial"/>
                <w:color w:val="000000"/>
                <w:sz w:val="18"/>
                <w:szCs w:val="18"/>
                <w:lang w:val="en-GB"/>
              </w:rPr>
              <w:t xml:space="preserve"> to the extent these are not relief, force majeure, compensation, and are not addressed through other bespoke provisions</w:t>
            </w:r>
          </w:p>
        </w:tc>
        <w:tc>
          <w:tcPr>
            <w:tcW w:w="356" w:type="pct"/>
            <w:tcBorders>
              <w:top w:val="nil"/>
              <w:left w:val="nil"/>
              <w:bottom w:val="single" w:sz="4" w:space="0" w:color="auto"/>
              <w:right w:val="single" w:sz="4" w:space="0" w:color="auto"/>
            </w:tcBorders>
            <w:shd w:val="clear" w:color="auto" w:fill="auto"/>
            <w:vAlign w:val="center"/>
          </w:tcPr>
          <w:p w14:paraId="48E25AB2" w14:textId="77777777" w:rsidR="006518A7" w:rsidRPr="00950AB2" w:rsidRDefault="006518A7" w:rsidP="00C64796">
            <w:pPr>
              <w:jc w:val="right"/>
              <w:rPr>
                <w:rFonts w:cs="Arial"/>
                <w:color w:val="000000"/>
                <w:sz w:val="18"/>
                <w:szCs w:val="18"/>
                <w:lang w:val="en-GB"/>
              </w:rPr>
            </w:pPr>
            <w:r>
              <w:rPr>
                <w:rFonts w:cs="Arial"/>
                <w:color w:val="000000"/>
                <w:sz w:val="18"/>
                <w:szCs w:val="18"/>
                <w:lang w:val="en-GB"/>
              </w:rPr>
              <w:t>0</w:t>
            </w:r>
            <w:r w:rsidRPr="00950AB2">
              <w:rPr>
                <w:rFonts w:cs="Arial"/>
                <w:color w:val="000000"/>
                <w:sz w:val="18"/>
                <w:szCs w:val="18"/>
                <w:lang w:val="en-GB"/>
              </w:rPr>
              <w:t>%</w:t>
            </w:r>
          </w:p>
        </w:tc>
        <w:tc>
          <w:tcPr>
            <w:tcW w:w="344" w:type="pct"/>
            <w:tcBorders>
              <w:top w:val="nil"/>
              <w:left w:val="nil"/>
              <w:bottom w:val="single" w:sz="4" w:space="0" w:color="auto"/>
              <w:right w:val="single" w:sz="4" w:space="0" w:color="auto"/>
            </w:tcBorders>
            <w:shd w:val="clear" w:color="auto" w:fill="auto"/>
            <w:vAlign w:val="center"/>
          </w:tcPr>
          <w:p w14:paraId="2EBE2DB7" w14:textId="77777777" w:rsidR="006518A7" w:rsidRPr="00950AB2" w:rsidRDefault="006518A7" w:rsidP="00C64796">
            <w:pPr>
              <w:jc w:val="right"/>
              <w:rPr>
                <w:rFonts w:cs="Arial"/>
                <w:color w:val="000000"/>
                <w:sz w:val="18"/>
                <w:szCs w:val="18"/>
                <w:lang w:val="en-GB"/>
              </w:rPr>
            </w:pPr>
            <w:r>
              <w:rPr>
                <w:rFonts w:cs="Arial"/>
                <w:color w:val="000000"/>
                <w:sz w:val="18"/>
                <w:szCs w:val="18"/>
                <w:lang w:val="en-GB"/>
              </w:rPr>
              <w:t>100</w:t>
            </w:r>
            <w:r w:rsidRPr="00950AB2">
              <w:rPr>
                <w:rFonts w:cs="Arial"/>
                <w:color w:val="000000"/>
                <w:sz w:val="18"/>
                <w:szCs w:val="18"/>
                <w:lang w:val="en-GB"/>
              </w:rPr>
              <w:t>%</w:t>
            </w:r>
          </w:p>
        </w:tc>
        <w:tc>
          <w:tcPr>
            <w:tcW w:w="418" w:type="pct"/>
            <w:tcBorders>
              <w:top w:val="nil"/>
              <w:left w:val="nil"/>
              <w:bottom w:val="single" w:sz="4" w:space="0" w:color="auto"/>
              <w:right w:val="single" w:sz="4" w:space="0" w:color="auto"/>
            </w:tcBorders>
            <w:shd w:val="clear" w:color="auto" w:fill="auto"/>
            <w:vAlign w:val="center"/>
          </w:tcPr>
          <w:p w14:paraId="50EC912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tcPr>
          <w:p w14:paraId="1E8996E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vAlign w:val="center"/>
          </w:tcPr>
          <w:p w14:paraId="1F6F00EC"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This may result in reduced project NPV.</w:t>
            </w:r>
          </w:p>
        </w:tc>
        <w:tc>
          <w:tcPr>
            <w:tcW w:w="671" w:type="pct"/>
            <w:tcBorders>
              <w:top w:val="nil"/>
              <w:left w:val="nil"/>
              <w:bottom w:val="single" w:sz="4" w:space="0" w:color="auto"/>
              <w:right w:val="single" w:sz="4" w:space="0" w:color="auto"/>
            </w:tcBorders>
            <w:shd w:val="clear" w:color="auto" w:fill="auto"/>
            <w:vAlign w:val="center"/>
          </w:tcPr>
          <w:p w14:paraId="441D5DE7"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Market consultation regarding project costs in the stage of pre-feasibility.</w:t>
            </w:r>
          </w:p>
        </w:tc>
      </w:tr>
      <w:tr w:rsidR="006518A7" w:rsidRPr="00AD0677" w14:paraId="45A7CDF2"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13A96587"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15.</w:t>
            </w:r>
          </w:p>
        </w:tc>
        <w:tc>
          <w:tcPr>
            <w:tcW w:w="777" w:type="pct"/>
            <w:tcBorders>
              <w:top w:val="nil"/>
              <w:left w:val="nil"/>
              <w:bottom w:val="single" w:sz="4" w:space="0" w:color="auto"/>
              <w:right w:val="single" w:sz="4" w:space="0" w:color="auto"/>
            </w:tcBorders>
            <w:shd w:val="clear" w:color="000000" w:fill="E7E6E6"/>
            <w:vAlign w:val="center"/>
            <w:hideMark/>
          </w:tcPr>
          <w:p w14:paraId="64A8AEE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Vendor lock-in</w:t>
            </w:r>
          </w:p>
        </w:tc>
        <w:tc>
          <w:tcPr>
            <w:tcW w:w="1223" w:type="pct"/>
            <w:tcBorders>
              <w:top w:val="nil"/>
              <w:left w:val="nil"/>
              <w:bottom w:val="single" w:sz="4" w:space="0" w:color="auto"/>
              <w:right w:val="single" w:sz="4" w:space="0" w:color="auto"/>
            </w:tcBorders>
            <w:shd w:val="clear" w:color="auto" w:fill="auto"/>
            <w:vAlign w:val="center"/>
            <w:hideMark/>
          </w:tcPr>
          <w:p w14:paraId="3649C87A"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Risks related to the dependency on proprietary software, hardware, and systems – from both sides</w:t>
            </w:r>
          </w:p>
        </w:tc>
        <w:tc>
          <w:tcPr>
            <w:tcW w:w="356" w:type="pct"/>
            <w:tcBorders>
              <w:top w:val="nil"/>
              <w:left w:val="nil"/>
              <w:bottom w:val="single" w:sz="4" w:space="0" w:color="auto"/>
              <w:right w:val="single" w:sz="4" w:space="0" w:color="auto"/>
            </w:tcBorders>
            <w:shd w:val="clear" w:color="auto" w:fill="auto"/>
            <w:vAlign w:val="center"/>
            <w:hideMark/>
          </w:tcPr>
          <w:p w14:paraId="479CC8E3"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344" w:type="pct"/>
            <w:tcBorders>
              <w:top w:val="nil"/>
              <w:left w:val="nil"/>
              <w:bottom w:val="single" w:sz="4" w:space="0" w:color="auto"/>
              <w:right w:val="single" w:sz="4" w:space="0" w:color="auto"/>
            </w:tcBorders>
            <w:shd w:val="clear" w:color="auto" w:fill="auto"/>
            <w:vAlign w:val="center"/>
            <w:hideMark/>
          </w:tcPr>
          <w:p w14:paraId="64D37AC3"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418" w:type="pct"/>
            <w:tcBorders>
              <w:top w:val="nil"/>
              <w:left w:val="nil"/>
              <w:bottom w:val="single" w:sz="4" w:space="0" w:color="auto"/>
              <w:right w:val="single" w:sz="4" w:space="0" w:color="auto"/>
            </w:tcBorders>
            <w:shd w:val="clear" w:color="auto" w:fill="auto"/>
            <w:vAlign w:val="center"/>
            <w:hideMark/>
          </w:tcPr>
          <w:p w14:paraId="201983E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hideMark/>
          </w:tcPr>
          <w:p w14:paraId="0DE6E2F5"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Low</w:t>
            </w:r>
          </w:p>
        </w:tc>
        <w:tc>
          <w:tcPr>
            <w:tcW w:w="668" w:type="pct"/>
            <w:tcBorders>
              <w:top w:val="single" w:sz="4" w:space="0" w:color="auto"/>
              <w:left w:val="nil"/>
              <w:bottom w:val="single" w:sz="4" w:space="0" w:color="auto"/>
              <w:right w:val="single" w:sz="4" w:space="0" w:color="auto"/>
            </w:tcBorders>
          </w:tcPr>
          <w:p w14:paraId="6D9D8BE5"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This may result in increased operational costs for specific technological solutions – due to vendor lock in, lack of competition may drive up maintenance or license costs.</w:t>
            </w:r>
          </w:p>
        </w:tc>
        <w:tc>
          <w:tcPr>
            <w:tcW w:w="671" w:type="pct"/>
            <w:tcBorders>
              <w:top w:val="nil"/>
              <w:left w:val="nil"/>
              <w:bottom w:val="single" w:sz="4" w:space="0" w:color="auto"/>
              <w:right w:val="single" w:sz="4" w:space="0" w:color="auto"/>
            </w:tcBorders>
            <w:shd w:val="clear" w:color="auto" w:fill="auto"/>
            <w:vAlign w:val="center"/>
            <w:hideMark/>
          </w:tcPr>
          <w:p w14:paraId="155053B4"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Consultations with potential bidders when designing technical requirements to prevent requirements that may be implying only specific technological solutions</w:t>
            </w:r>
          </w:p>
        </w:tc>
      </w:tr>
      <w:tr w:rsidR="006518A7" w:rsidRPr="00AD0677" w14:paraId="6BFA1E9F" w14:textId="77777777" w:rsidTr="006518A7">
        <w:trPr>
          <w:trHeight w:val="684"/>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5194A789"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16.</w:t>
            </w:r>
            <w:r w:rsidRPr="00AD0677">
              <w:rPr>
                <w:rFonts w:ascii="Times New Roman" w:hAnsi="Times New Roman"/>
                <w:b/>
                <w:bCs/>
                <w:color w:val="000000"/>
                <w:sz w:val="14"/>
                <w:szCs w:val="14"/>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4EEC1ED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Security breach </w:t>
            </w:r>
          </w:p>
        </w:tc>
        <w:tc>
          <w:tcPr>
            <w:tcW w:w="1223" w:type="pct"/>
            <w:tcBorders>
              <w:top w:val="nil"/>
              <w:left w:val="nil"/>
              <w:bottom w:val="single" w:sz="4" w:space="0" w:color="auto"/>
              <w:right w:val="single" w:sz="4" w:space="0" w:color="auto"/>
            </w:tcBorders>
            <w:shd w:val="clear" w:color="auto" w:fill="auto"/>
            <w:vAlign w:val="center"/>
            <w:hideMark/>
          </w:tcPr>
          <w:p w14:paraId="53670EE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Including physical and informational, such as: Cybersecurity attacks, privacy breaches, leading to security breaches</w:t>
            </w:r>
          </w:p>
        </w:tc>
        <w:tc>
          <w:tcPr>
            <w:tcW w:w="356" w:type="pct"/>
            <w:tcBorders>
              <w:top w:val="nil"/>
              <w:left w:val="nil"/>
              <w:bottom w:val="single" w:sz="4" w:space="0" w:color="auto"/>
              <w:right w:val="single" w:sz="4" w:space="0" w:color="auto"/>
            </w:tcBorders>
            <w:shd w:val="clear" w:color="auto" w:fill="auto"/>
            <w:vAlign w:val="center"/>
            <w:hideMark/>
          </w:tcPr>
          <w:p w14:paraId="33B422CA"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344" w:type="pct"/>
            <w:tcBorders>
              <w:top w:val="nil"/>
              <w:left w:val="nil"/>
              <w:bottom w:val="single" w:sz="4" w:space="0" w:color="auto"/>
              <w:right w:val="single" w:sz="4" w:space="0" w:color="auto"/>
            </w:tcBorders>
            <w:shd w:val="clear" w:color="auto" w:fill="auto"/>
            <w:vAlign w:val="center"/>
            <w:hideMark/>
          </w:tcPr>
          <w:p w14:paraId="20A77BEC"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418" w:type="pct"/>
            <w:tcBorders>
              <w:top w:val="nil"/>
              <w:left w:val="nil"/>
              <w:bottom w:val="single" w:sz="4" w:space="0" w:color="auto"/>
              <w:right w:val="single" w:sz="4" w:space="0" w:color="auto"/>
            </w:tcBorders>
            <w:shd w:val="clear" w:color="auto" w:fill="auto"/>
            <w:vAlign w:val="center"/>
            <w:hideMark/>
          </w:tcPr>
          <w:p w14:paraId="5449CCB9"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hideMark/>
          </w:tcPr>
          <w:p w14:paraId="2E3FB3B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High</w:t>
            </w:r>
          </w:p>
        </w:tc>
        <w:tc>
          <w:tcPr>
            <w:tcW w:w="668" w:type="pct"/>
            <w:tcBorders>
              <w:top w:val="single" w:sz="4" w:space="0" w:color="auto"/>
              <w:left w:val="nil"/>
              <w:bottom w:val="single" w:sz="4" w:space="0" w:color="auto"/>
              <w:right w:val="single" w:sz="4" w:space="0" w:color="auto"/>
            </w:tcBorders>
            <w:vAlign w:val="center"/>
          </w:tcPr>
          <w:p w14:paraId="5CDD6903"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This may result in contractual penalties, or in some cases to additional costs to restore interrupted operations.</w:t>
            </w:r>
          </w:p>
        </w:tc>
        <w:tc>
          <w:tcPr>
            <w:tcW w:w="671" w:type="pct"/>
            <w:tcBorders>
              <w:top w:val="nil"/>
              <w:left w:val="nil"/>
              <w:bottom w:val="single" w:sz="4" w:space="0" w:color="auto"/>
              <w:right w:val="single" w:sz="4" w:space="0" w:color="auto"/>
            </w:tcBorders>
            <w:shd w:val="clear" w:color="auto" w:fill="auto"/>
            <w:vAlign w:val="center"/>
            <w:hideMark/>
          </w:tcPr>
          <w:p w14:paraId="218C7369"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1. Private Partner liability to cover direct and indirect costs foreseen in the contract.</w:t>
            </w:r>
          </w:p>
          <w:p w14:paraId="24343460"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2. Requirements for insurance foreseen in the contract.</w:t>
            </w:r>
          </w:p>
          <w:p w14:paraId="01CA0751"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 xml:space="preserve">3. Requirements for security (incl. cyber security) certification </w:t>
            </w:r>
            <w:r w:rsidRPr="00950AB2">
              <w:rPr>
                <w:rFonts w:cs="Arial"/>
                <w:color w:val="000000"/>
                <w:sz w:val="18"/>
                <w:szCs w:val="18"/>
                <w:lang w:val="en-GB"/>
              </w:rPr>
              <w:lastRenderedPageBreak/>
              <w:t xml:space="preserve">by </w:t>
            </w:r>
            <w:proofErr w:type="gramStart"/>
            <w:r w:rsidRPr="00950AB2">
              <w:rPr>
                <w:rFonts w:cs="Arial"/>
                <w:color w:val="000000"/>
                <w:sz w:val="18"/>
                <w:szCs w:val="18"/>
                <w:lang w:val="en-GB"/>
              </w:rPr>
              <w:t>third-parties</w:t>
            </w:r>
            <w:proofErr w:type="gramEnd"/>
            <w:r w:rsidRPr="00950AB2">
              <w:rPr>
                <w:rFonts w:cs="Arial"/>
                <w:color w:val="000000"/>
                <w:sz w:val="18"/>
                <w:szCs w:val="18"/>
                <w:lang w:val="en-GB"/>
              </w:rPr>
              <w:t xml:space="preserve">, confirming compliance included in the technical requirements, technical audits foreseen. </w:t>
            </w:r>
          </w:p>
          <w:p w14:paraId="3E8769FF"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4. Qualification criteria to include track-record of non-performing contracts and litigations, incl. for the security breaches.</w:t>
            </w:r>
          </w:p>
        </w:tc>
      </w:tr>
      <w:tr w:rsidR="006518A7" w:rsidRPr="00AD0677" w14:paraId="4B0F7CE7"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7575B970"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lastRenderedPageBreak/>
              <w:t>17.</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4057EB4F"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Incomplete / poor performance by the contractor</w:t>
            </w:r>
          </w:p>
        </w:tc>
        <w:tc>
          <w:tcPr>
            <w:tcW w:w="1223" w:type="pct"/>
            <w:tcBorders>
              <w:top w:val="nil"/>
              <w:left w:val="nil"/>
              <w:bottom w:val="single" w:sz="4" w:space="0" w:color="auto"/>
              <w:right w:val="single" w:sz="4" w:space="0" w:color="auto"/>
            </w:tcBorders>
            <w:shd w:val="clear" w:color="auto" w:fill="auto"/>
            <w:vAlign w:val="center"/>
            <w:hideMark/>
          </w:tcPr>
          <w:p w14:paraId="07EB05A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Including failure of operational indicators and lower quality of services compared to pre-agreed/ required by the contract, incl. capacity to produce and distribute defined volumes of travel and identity documents according to SLA.</w:t>
            </w:r>
          </w:p>
        </w:tc>
        <w:tc>
          <w:tcPr>
            <w:tcW w:w="356" w:type="pct"/>
            <w:tcBorders>
              <w:top w:val="nil"/>
              <w:left w:val="nil"/>
              <w:bottom w:val="single" w:sz="4" w:space="0" w:color="auto"/>
              <w:right w:val="single" w:sz="4" w:space="0" w:color="auto"/>
            </w:tcBorders>
            <w:shd w:val="clear" w:color="auto" w:fill="auto"/>
            <w:vAlign w:val="center"/>
            <w:hideMark/>
          </w:tcPr>
          <w:p w14:paraId="5E4483E0"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344" w:type="pct"/>
            <w:tcBorders>
              <w:top w:val="nil"/>
              <w:left w:val="nil"/>
              <w:bottom w:val="single" w:sz="4" w:space="0" w:color="auto"/>
              <w:right w:val="single" w:sz="4" w:space="0" w:color="auto"/>
            </w:tcBorders>
            <w:shd w:val="clear" w:color="auto" w:fill="auto"/>
            <w:vAlign w:val="center"/>
            <w:hideMark/>
          </w:tcPr>
          <w:p w14:paraId="058408A9"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418" w:type="pct"/>
            <w:tcBorders>
              <w:top w:val="nil"/>
              <w:left w:val="nil"/>
              <w:bottom w:val="single" w:sz="4" w:space="0" w:color="auto"/>
              <w:right w:val="single" w:sz="4" w:space="0" w:color="auto"/>
            </w:tcBorders>
            <w:shd w:val="clear" w:color="auto" w:fill="auto"/>
            <w:vAlign w:val="center"/>
            <w:hideMark/>
          </w:tcPr>
          <w:p w14:paraId="354CFE8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hideMark/>
          </w:tcPr>
          <w:p w14:paraId="65CD77A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1674301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This may limit realization of benefits for the government and for private partner </w:t>
            </w:r>
            <w:r>
              <w:rPr>
                <w:rFonts w:cs="Arial"/>
                <w:color w:val="000000"/>
                <w:sz w:val="18"/>
                <w:szCs w:val="18"/>
                <w:lang w:val="en-GB"/>
              </w:rPr>
              <w:t xml:space="preserve">and </w:t>
            </w:r>
            <w:r w:rsidRPr="00950AB2">
              <w:rPr>
                <w:rFonts w:cs="Arial"/>
                <w:color w:val="000000"/>
                <w:sz w:val="18"/>
                <w:szCs w:val="18"/>
                <w:lang w:val="en-GB"/>
              </w:rPr>
              <w:t>shall result in penalties for not meeting SLAs.</w:t>
            </w:r>
          </w:p>
        </w:tc>
        <w:tc>
          <w:tcPr>
            <w:tcW w:w="671" w:type="pct"/>
            <w:tcBorders>
              <w:top w:val="nil"/>
              <w:left w:val="nil"/>
              <w:bottom w:val="single" w:sz="4" w:space="0" w:color="auto"/>
              <w:right w:val="single" w:sz="4" w:space="0" w:color="auto"/>
            </w:tcBorders>
            <w:shd w:val="clear" w:color="auto" w:fill="auto"/>
            <w:vAlign w:val="center"/>
            <w:hideMark/>
          </w:tcPr>
          <w:p w14:paraId="34EEDFE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Potential penalties in the contract based on unfulfilled SLAs.</w:t>
            </w:r>
          </w:p>
        </w:tc>
      </w:tr>
      <w:tr w:rsidR="006518A7" w:rsidRPr="00AD0677" w14:paraId="2F75655F" w14:textId="77777777" w:rsidTr="006518A7">
        <w:trPr>
          <w:trHeight w:val="924"/>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2C37834F"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18.</w:t>
            </w:r>
          </w:p>
        </w:tc>
        <w:tc>
          <w:tcPr>
            <w:tcW w:w="777" w:type="pct"/>
            <w:tcBorders>
              <w:top w:val="nil"/>
              <w:left w:val="nil"/>
              <w:bottom w:val="single" w:sz="4" w:space="0" w:color="auto"/>
              <w:right w:val="single" w:sz="4" w:space="0" w:color="auto"/>
            </w:tcBorders>
            <w:shd w:val="clear" w:color="000000" w:fill="E7E6E6"/>
            <w:vAlign w:val="center"/>
            <w:hideMark/>
          </w:tcPr>
          <w:p w14:paraId="68B53BEC"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Supply and input materials shortage</w:t>
            </w:r>
          </w:p>
        </w:tc>
        <w:tc>
          <w:tcPr>
            <w:tcW w:w="1223" w:type="pct"/>
            <w:tcBorders>
              <w:top w:val="nil"/>
              <w:left w:val="nil"/>
              <w:bottom w:val="single" w:sz="4" w:space="0" w:color="auto"/>
              <w:right w:val="single" w:sz="4" w:space="0" w:color="auto"/>
            </w:tcBorders>
            <w:shd w:val="clear" w:color="auto" w:fill="auto"/>
            <w:vAlign w:val="center"/>
            <w:hideMark/>
          </w:tcPr>
          <w:p w14:paraId="0BC8BED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Risks of poor performance of sub-contractors due to </w:t>
            </w:r>
            <w:r>
              <w:rPr>
                <w:rFonts w:cs="Arial"/>
                <w:color w:val="000000"/>
                <w:sz w:val="18"/>
                <w:szCs w:val="18"/>
                <w:lang w:val="en-GB"/>
              </w:rPr>
              <w:t>im</w:t>
            </w:r>
            <w:r w:rsidRPr="00950AB2">
              <w:rPr>
                <w:rFonts w:cs="Arial"/>
                <w:color w:val="000000"/>
                <w:sz w:val="18"/>
                <w:szCs w:val="18"/>
                <w:lang w:val="en-GB"/>
              </w:rPr>
              <w:t xml:space="preserve">proper control of the operational process by the Private Partner or any other factors </w:t>
            </w:r>
          </w:p>
        </w:tc>
        <w:tc>
          <w:tcPr>
            <w:tcW w:w="356" w:type="pct"/>
            <w:tcBorders>
              <w:top w:val="nil"/>
              <w:left w:val="nil"/>
              <w:bottom w:val="single" w:sz="4" w:space="0" w:color="auto"/>
              <w:right w:val="single" w:sz="4" w:space="0" w:color="auto"/>
            </w:tcBorders>
            <w:shd w:val="clear" w:color="auto" w:fill="auto"/>
            <w:vAlign w:val="center"/>
            <w:hideMark/>
          </w:tcPr>
          <w:p w14:paraId="2F4E7D2D"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344" w:type="pct"/>
            <w:tcBorders>
              <w:top w:val="nil"/>
              <w:left w:val="nil"/>
              <w:bottom w:val="single" w:sz="4" w:space="0" w:color="auto"/>
              <w:right w:val="single" w:sz="4" w:space="0" w:color="auto"/>
            </w:tcBorders>
            <w:shd w:val="clear" w:color="auto" w:fill="auto"/>
            <w:vAlign w:val="center"/>
            <w:hideMark/>
          </w:tcPr>
          <w:p w14:paraId="7124E1DD"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418" w:type="pct"/>
            <w:tcBorders>
              <w:top w:val="nil"/>
              <w:left w:val="nil"/>
              <w:bottom w:val="single" w:sz="4" w:space="0" w:color="auto"/>
              <w:right w:val="single" w:sz="4" w:space="0" w:color="auto"/>
            </w:tcBorders>
            <w:shd w:val="clear" w:color="auto" w:fill="auto"/>
            <w:vAlign w:val="center"/>
            <w:hideMark/>
          </w:tcPr>
          <w:p w14:paraId="2EF9D62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hideMark/>
          </w:tcPr>
          <w:p w14:paraId="419A0544"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Low</w:t>
            </w:r>
          </w:p>
        </w:tc>
        <w:tc>
          <w:tcPr>
            <w:tcW w:w="668" w:type="pct"/>
            <w:tcBorders>
              <w:top w:val="single" w:sz="4" w:space="0" w:color="auto"/>
              <w:left w:val="nil"/>
              <w:bottom w:val="single" w:sz="4" w:space="0" w:color="auto"/>
              <w:right w:val="single" w:sz="4" w:space="0" w:color="auto"/>
            </w:tcBorders>
          </w:tcPr>
          <w:p w14:paraId="4CC8CCC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This may limit ability of </w:t>
            </w:r>
            <w:r>
              <w:rPr>
                <w:rFonts w:cs="Arial"/>
                <w:color w:val="000000"/>
                <w:sz w:val="18"/>
                <w:szCs w:val="18"/>
                <w:lang w:val="en-GB"/>
              </w:rPr>
              <w:t>P</w:t>
            </w:r>
            <w:r w:rsidRPr="00950AB2">
              <w:rPr>
                <w:rFonts w:cs="Arial"/>
                <w:color w:val="000000"/>
                <w:sz w:val="18"/>
                <w:szCs w:val="18"/>
                <w:lang w:val="en-GB"/>
              </w:rPr>
              <w:t>rivate partner to meet SLAs and result in penalties / reduced fees.</w:t>
            </w:r>
          </w:p>
        </w:tc>
        <w:tc>
          <w:tcPr>
            <w:tcW w:w="671" w:type="pct"/>
            <w:tcBorders>
              <w:top w:val="nil"/>
              <w:left w:val="nil"/>
              <w:bottom w:val="single" w:sz="4" w:space="0" w:color="auto"/>
              <w:right w:val="single" w:sz="4" w:space="0" w:color="auto"/>
            </w:tcBorders>
            <w:shd w:val="clear" w:color="auto" w:fill="auto"/>
            <w:vAlign w:val="center"/>
            <w:hideMark/>
          </w:tcPr>
          <w:p w14:paraId="11240F8E"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Potential penalties foreseen in the contract based on unfulfilled SLAs.</w:t>
            </w:r>
          </w:p>
        </w:tc>
      </w:tr>
      <w:tr w:rsidR="006518A7" w:rsidRPr="00AD0677" w14:paraId="02D0B195" w14:textId="77777777" w:rsidTr="006518A7">
        <w:trPr>
          <w:trHeight w:val="684"/>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45BEBC7C"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19.</w:t>
            </w:r>
          </w:p>
        </w:tc>
        <w:tc>
          <w:tcPr>
            <w:tcW w:w="777" w:type="pct"/>
            <w:tcBorders>
              <w:top w:val="nil"/>
              <w:left w:val="nil"/>
              <w:bottom w:val="single" w:sz="4" w:space="0" w:color="auto"/>
              <w:right w:val="single" w:sz="4" w:space="0" w:color="auto"/>
            </w:tcBorders>
            <w:shd w:val="clear" w:color="000000" w:fill="E7E6E6"/>
            <w:vAlign w:val="center"/>
            <w:hideMark/>
          </w:tcPr>
          <w:p w14:paraId="4151CC1F"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Risk of discontinued operations (hand-back phase)</w:t>
            </w:r>
          </w:p>
        </w:tc>
        <w:tc>
          <w:tcPr>
            <w:tcW w:w="1223" w:type="pct"/>
            <w:tcBorders>
              <w:top w:val="nil"/>
              <w:left w:val="nil"/>
              <w:bottom w:val="single" w:sz="4" w:space="0" w:color="auto"/>
              <w:right w:val="single" w:sz="4" w:space="0" w:color="auto"/>
            </w:tcBorders>
            <w:shd w:val="clear" w:color="auto" w:fill="auto"/>
            <w:vAlign w:val="center"/>
            <w:hideMark/>
          </w:tcPr>
          <w:p w14:paraId="7A108A63"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Risk of inability to establish a flawless process during hand-back phase or hand back of asset of unappropriated condition to continue operations (transferring to the Public Partner)</w:t>
            </w:r>
            <w:r>
              <w:rPr>
                <w:rFonts w:cs="Arial"/>
                <w:color w:val="000000"/>
                <w:sz w:val="18"/>
                <w:szCs w:val="18"/>
                <w:lang w:val="en-GB"/>
              </w:rPr>
              <w:t xml:space="preserve">. </w:t>
            </w:r>
            <w:r w:rsidRPr="00975486">
              <w:rPr>
                <w:rFonts w:cs="Arial"/>
                <w:color w:val="000000"/>
                <w:sz w:val="18"/>
                <w:szCs w:val="18"/>
                <w:lang w:val="en-GB"/>
              </w:rPr>
              <w:t>Majority of risk is assumed by the Private Partner, but discontinued operations may happen due to the Public Partner failure to successfully take over operations (e.g., poor governance, etc.)</w:t>
            </w:r>
            <w:r>
              <w:rPr>
                <w:rFonts w:cs="Arial"/>
                <w:color w:val="000000"/>
                <w:sz w:val="18"/>
                <w:szCs w:val="18"/>
                <w:lang w:val="en-GB"/>
              </w:rPr>
              <w:t xml:space="preserve">. </w:t>
            </w:r>
            <w:r w:rsidRPr="00596DE6" w:rsidDel="006D0828">
              <w:rPr>
                <w:rFonts w:cs="Arial"/>
                <w:color w:val="000000"/>
                <w:sz w:val="18"/>
                <w:szCs w:val="18"/>
                <w:lang w:val="en-GB"/>
              </w:rPr>
              <w:t>t</w:t>
            </w:r>
            <w:r w:rsidRPr="00596DE6">
              <w:rPr>
                <w:rFonts w:cs="Arial"/>
                <w:color w:val="000000"/>
                <w:sz w:val="18"/>
                <w:szCs w:val="18"/>
                <w:lang w:val="en-GB"/>
              </w:rPr>
              <w:t xml:space="preserve">o facilitate an effective handover, </w:t>
            </w:r>
            <w:r>
              <w:rPr>
                <w:rFonts w:cs="Arial"/>
                <w:color w:val="000000"/>
                <w:sz w:val="18"/>
                <w:szCs w:val="18"/>
                <w:lang w:val="en-GB"/>
              </w:rPr>
              <w:t xml:space="preserve">the Public Partner should prepare in advance, conduct technical audit before the </w:t>
            </w:r>
            <w:r w:rsidRPr="00596DE6">
              <w:rPr>
                <w:rFonts w:cs="Arial"/>
                <w:color w:val="000000"/>
                <w:sz w:val="18"/>
                <w:szCs w:val="18"/>
                <w:lang w:val="en-GB"/>
              </w:rPr>
              <w:t>hand</w:t>
            </w:r>
            <w:r>
              <w:rPr>
                <w:rFonts w:cs="Arial"/>
                <w:color w:val="000000"/>
                <w:sz w:val="18"/>
                <w:szCs w:val="18"/>
                <w:lang w:val="en-GB"/>
              </w:rPr>
              <w:t xml:space="preserve">-back, </w:t>
            </w:r>
            <w:r w:rsidRPr="00596DE6">
              <w:rPr>
                <w:rFonts w:cs="Arial"/>
                <w:color w:val="000000"/>
                <w:sz w:val="18"/>
                <w:szCs w:val="18"/>
                <w:lang w:val="en-GB"/>
              </w:rPr>
              <w:t xml:space="preserve">and </w:t>
            </w:r>
            <w:r w:rsidRPr="00596DE6">
              <w:rPr>
                <w:rFonts w:cs="Arial"/>
                <w:color w:val="000000"/>
                <w:sz w:val="18"/>
                <w:szCs w:val="18"/>
                <w:lang w:val="en-GB"/>
              </w:rPr>
              <w:lastRenderedPageBreak/>
              <w:t xml:space="preserve">cooperate with the </w:t>
            </w:r>
            <w:r w:rsidRPr="00116C3E">
              <w:rPr>
                <w:rFonts w:cs="Arial"/>
                <w:color w:val="000000"/>
                <w:sz w:val="18"/>
                <w:szCs w:val="18"/>
                <w:lang w:val="en-GB"/>
              </w:rPr>
              <w:t>Private Partner</w:t>
            </w:r>
            <w:r w:rsidRPr="00596DE6">
              <w:rPr>
                <w:rFonts w:cs="Arial"/>
                <w:color w:val="000000"/>
                <w:sz w:val="18"/>
                <w:szCs w:val="18"/>
                <w:lang w:val="en-GB"/>
              </w:rPr>
              <w:t xml:space="preserve"> so that the </w:t>
            </w:r>
            <w:r>
              <w:rPr>
                <w:rFonts w:cs="Arial"/>
                <w:color w:val="000000"/>
                <w:sz w:val="18"/>
                <w:szCs w:val="18"/>
                <w:lang w:val="en-GB"/>
              </w:rPr>
              <w:t>operations</w:t>
            </w:r>
            <w:r w:rsidRPr="00596DE6">
              <w:rPr>
                <w:rFonts w:cs="Arial"/>
                <w:color w:val="000000"/>
                <w:sz w:val="18"/>
                <w:szCs w:val="18"/>
                <w:lang w:val="en-GB"/>
              </w:rPr>
              <w:t xml:space="preserve"> continue.</w:t>
            </w:r>
          </w:p>
        </w:tc>
        <w:tc>
          <w:tcPr>
            <w:tcW w:w="356" w:type="pct"/>
            <w:tcBorders>
              <w:top w:val="nil"/>
              <w:left w:val="nil"/>
              <w:bottom w:val="single" w:sz="4" w:space="0" w:color="auto"/>
              <w:right w:val="single" w:sz="4" w:space="0" w:color="auto"/>
            </w:tcBorders>
            <w:shd w:val="clear" w:color="auto" w:fill="auto"/>
            <w:vAlign w:val="center"/>
            <w:hideMark/>
          </w:tcPr>
          <w:p w14:paraId="679A02F4"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lastRenderedPageBreak/>
              <w:t>25%</w:t>
            </w:r>
          </w:p>
        </w:tc>
        <w:tc>
          <w:tcPr>
            <w:tcW w:w="344" w:type="pct"/>
            <w:tcBorders>
              <w:top w:val="nil"/>
              <w:left w:val="nil"/>
              <w:bottom w:val="single" w:sz="4" w:space="0" w:color="auto"/>
              <w:right w:val="single" w:sz="4" w:space="0" w:color="auto"/>
            </w:tcBorders>
            <w:shd w:val="clear" w:color="auto" w:fill="auto"/>
            <w:vAlign w:val="center"/>
            <w:hideMark/>
          </w:tcPr>
          <w:p w14:paraId="1A7048BF"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75%</w:t>
            </w:r>
          </w:p>
        </w:tc>
        <w:tc>
          <w:tcPr>
            <w:tcW w:w="418" w:type="pct"/>
            <w:tcBorders>
              <w:top w:val="nil"/>
              <w:left w:val="nil"/>
              <w:bottom w:val="single" w:sz="4" w:space="0" w:color="auto"/>
              <w:right w:val="single" w:sz="4" w:space="0" w:color="auto"/>
            </w:tcBorders>
            <w:shd w:val="clear" w:color="auto" w:fill="auto"/>
            <w:vAlign w:val="center"/>
            <w:hideMark/>
          </w:tcPr>
          <w:p w14:paraId="60A395C3"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hideMark/>
          </w:tcPr>
          <w:p w14:paraId="7EB5338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0886AC25"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For private partner it may result in penalties, should they be not able to meet hand over requirements. </w:t>
            </w:r>
          </w:p>
          <w:p w14:paraId="3186C2B6" w14:textId="77777777" w:rsidR="006518A7" w:rsidRPr="00950AB2" w:rsidRDefault="006518A7" w:rsidP="00C64796">
            <w:pPr>
              <w:jc w:val="left"/>
              <w:rPr>
                <w:rFonts w:cs="Arial"/>
                <w:color w:val="000000"/>
                <w:sz w:val="18"/>
                <w:szCs w:val="18"/>
                <w:lang w:val="en-GB"/>
              </w:rPr>
            </w:pPr>
          </w:p>
          <w:p w14:paraId="19E88D9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For </w:t>
            </w:r>
            <w:proofErr w:type="spellStart"/>
            <w:r w:rsidRPr="00950AB2">
              <w:rPr>
                <w:rFonts w:cs="Arial"/>
                <w:color w:val="000000"/>
                <w:sz w:val="18"/>
                <w:szCs w:val="18"/>
                <w:lang w:val="en-GB"/>
              </w:rPr>
              <w:t>GoA</w:t>
            </w:r>
            <w:proofErr w:type="spellEnd"/>
            <w:r w:rsidRPr="00950AB2">
              <w:rPr>
                <w:rFonts w:cs="Arial"/>
                <w:color w:val="000000"/>
                <w:sz w:val="18"/>
                <w:szCs w:val="18"/>
                <w:lang w:val="en-GB"/>
              </w:rPr>
              <w:t xml:space="preserve"> it may result in disrupted operations of passport and ID card issuance.</w:t>
            </w:r>
          </w:p>
        </w:tc>
        <w:tc>
          <w:tcPr>
            <w:tcW w:w="671" w:type="pct"/>
            <w:tcBorders>
              <w:top w:val="nil"/>
              <w:left w:val="nil"/>
              <w:bottom w:val="single" w:sz="4" w:space="0" w:color="auto"/>
              <w:right w:val="single" w:sz="4" w:space="0" w:color="auto"/>
            </w:tcBorders>
            <w:shd w:val="clear" w:color="auto" w:fill="auto"/>
            <w:vAlign w:val="center"/>
            <w:hideMark/>
          </w:tcPr>
          <w:p w14:paraId="7A880F46" w14:textId="77777777" w:rsidR="006518A7" w:rsidRPr="00950AB2" w:rsidRDefault="006518A7" w:rsidP="00C64796">
            <w:pPr>
              <w:rPr>
                <w:rFonts w:cs="Arial"/>
                <w:color w:val="000000"/>
                <w:sz w:val="18"/>
                <w:szCs w:val="18"/>
                <w:lang w:val="en-GB"/>
              </w:rPr>
            </w:pPr>
            <w:r>
              <w:rPr>
                <w:rFonts w:cs="Arial"/>
                <w:color w:val="000000"/>
                <w:sz w:val="18"/>
                <w:szCs w:val="18"/>
                <w:lang w:val="en-GB"/>
              </w:rPr>
              <w:t xml:space="preserve">1. </w:t>
            </w:r>
            <w:r w:rsidRPr="00950AB2">
              <w:rPr>
                <w:rFonts w:cs="Arial"/>
                <w:color w:val="000000"/>
                <w:sz w:val="18"/>
                <w:szCs w:val="18"/>
                <w:lang w:val="en-GB"/>
              </w:rPr>
              <w:t>Detailed hand-over-procedure defined in the contract.</w:t>
            </w:r>
          </w:p>
          <w:p w14:paraId="50BEF3EE" w14:textId="77777777" w:rsidR="006518A7" w:rsidRPr="00950AB2" w:rsidRDefault="006518A7" w:rsidP="00C64796">
            <w:pPr>
              <w:rPr>
                <w:rFonts w:cs="Arial"/>
                <w:color w:val="000000"/>
                <w:sz w:val="18"/>
                <w:szCs w:val="18"/>
                <w:lang w:val="en-GB"/>
              </w:rPr>
            </w:pPr>
            <w:r>
              <w:rPr>
                <w:rFonts w:cs="Arial"/>
                <w:color w:val="000000"/>
                <w:sz w:val="18"/>
                <w:szCs w:val="18"/>
                <w:lang w:val="en-GB"/>
              </w:rPr>
              <w:t xml:space="preserve">2. </w:t>
            </w:r>
            <w:r w:rsidRPr="00950AB2">
              <w:rPr>
                <w:rFonts w:cs="Arial"/>
                <w:color w:val="000000"/>
                <w:sz w:val="18"/>
                <w:szCs w:val="18"/>
                <w:lang w:val="en-GB"/>
              </w:rPr>
              <w:t>Investment obligations defined to maintain asset quality.</w:t>
            </w:r>
          </w:p>
          <w:p w14:paraId="48A0C2E8" w14:textId="77777777" w:rsidR="006518A7" w:rsidRPr="00950AB2" w:rsidRDefault="006518A7" w:rsidP="00C64796">
            <w:pPr>
              <w:rPr>
                <w:rFonts w:cs="Arial"/>
                <w:color w:val="000000"/>
                <w:sz w:val="18"/>
                <w:szCs w:val="18"/>
                <w:lang w:val="en-GB"/>
              </w:rPr>
            </w:pPr>
            <w:r>
              <w:rPr>
                <w:rFonts w:cs="Arial"/>
                <w:color w:val="000000"/>
                <w:sz w:val="18"/>
                <w:szCs w:val="18"/>
                <w:lang w:val="en-GB"/>
              </w:rPr>
              <w:t xml:space="preserve">3. </w:t>
            </w:r>
            <w:r w:rsidRPr="00950AB2">
              <w:rPr>
                <w:rFonts w:cs="Arial"/>
                <w:color w:val="000000"/>
                <w:sz w:val="18"/>
                <w:szCs w:val="18"/>
                <w:lang w:val="en-GB"/>
              </w:rPr>
              <w:t>Penalties foreseen in case private partner cannot meet handover requirements.</w:t>
            </w:r>
          </w:p>
          <w:p w14:paraId="5A622921" w14:textId="77777777" w:rsidR="006518A7" w:rsidRPr="00950AB2" w:rsidRDefault="006518A7" w:rsidP="00C64796">
            <w:pPr>
              <w:rPr>
                <w:rFonts w:cs="Arial"/>
                <w:color w:val="000000"/>
                <w:sz w:val="18"/>
                <w:szCs w:val="18"/>
                <w:lang w:val="en-GB"/>
              </w:rPr>
            </w:pPr>
            <w:r>
              <w:rPr>
                <w:rFonts w:cs="Arial"/>
                <w:color w:val="000000"/>
                <w:sz w:val="18"/>
                <w:szCs w:val="18"/>
                <w:lang w:val="en-GB"/>
              </w:rPr>
              <w:lastRenderedPageBreak/>
              <w:t xml:space="preserve">4. </w:t>
            </w:r>
            <w:r w:rsidRPr="00950AB2">
              <w:rPr>
                <w:rFonts w:cs="Arial"/>
                <w:color w:val="000000"/>
                <w:sz w:val="18"/>
                <w:szCs w:val="18"/>
                <w:lang w:val="en-GB"/>
              </w:rPr>
              <w:t>Contract monitoring process establish</w:t>
            </w:r>
            <w:r>
              <w:rPr>
                <w:rFonts w:cs="Arial"/>
                <w:color w:val="000000"/>
                <w:sz w:val="18"/>
                <w:szCs w:val="18"/>
                <w:lang w:val="en-GB"/>
              </w:rPr>
              <w:t>ed</w:t>
            </w:r>
            <w:r w:rsidRPr="00950AB2">
              <w:rPr>
                <w:rFonts w:cs="Arial"/>
                <w:color w:val="000000"/>
                <w:sz w:val="18"/>
                <w:szCs w:val="18"/>
                <w:lang w:val="en-GB"/>
              </w:rPr>
              <w:t xml:space="preserve"> to understand early warning signs.</w:t>
            </w:r>
          </w:p>
        </w:tc>
      </w:tr>
      <w:tr w:rsidR="006518A7" w:rsidRPr="00AD0677" w14:paraId="29725910"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1B394566"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lastRenderedPageBreak/>
              <w:t>20.</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7F280A3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Risk of discontinued operations (operational phase)</w:t>
            </w:r>
          </w:p>
        </w:tc>
        <w:tc>
          <w:tcPr>
            <w:tcW w:w="1223" w:type="pct"/>
            <w:tcBorders>
              <w:top w:val="nil"/>
              <w:left w:val="nil"/>
              <w:bottom w:val="single" w:sz="4" w:space="0" w:color="auto"/>
              <w:right w:val="single" w:sz="4" w:space="0" w:color="auto"/>
            </w:tcBorders>
            <w:shd w:val="clear" w:color="auto" w:fill="auto"/>
            <w:vAlign w:val="center"/>
            <w:hideMark/>
          </w:tcPr>
          <w:p w14:paraId="3E1D88C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Inability to establish a flawless process during the operational phase</w:t>
            </w:r>
            <w:r>
              <w:rPr>
                <w:rFonts w:cs="Arial"/>
                <w:color w:val="000000"/>
                <w:sz w:val="18"/>
                <w:szCs w:val="18"/>
                <w:lang w:val="en-GB"/>
              </w:rPr>
              <w:t>. This also include the issue of the ownership change.</w:t>
            </w:r>
          </w:p>
        </w:tc>
        <w:tc>
          <w:tcPr>
            <w:tcW w:w="356" w:type="pct"/>
            <w:tcBorders>
              <w:top w:val="nil"/>
              <w:left w:val="nil"/>
              <w:bottom w:val="single" w:sz="4" w:space="0" w:color="auto"/>
              <w:right w:val="single" w:sz="4" w:space="0" w:color="auto"/>
            </w:tcBorders>
            <w:shd w:val="clear" w:color="auto" w:fill="auto"/>
            <w:vAlign w:val="center"/>
            <w:hideMark/>
          </w:tcPr>
          <w:p w14:paraId="0E14D9D7" w14:textId="77777777" w:rsidR="006518A7" w:rsidRPr="00950AB2" w:rsidRDefault="006518A7" w:rsidP="00C64796">
            <w:pPr>
              <w:jc w:val="right"/>
              <w:rPr>
                <w:rFonts w:cs="Arial"/>
                <w:color w:val="000000"/>
                <w:sz w:val="18"/>
                <w:szCs w:val="18"/>
                <w:lang w:val="en-GB"/>
              </w:rPr>
            </w:pPr>
            <w:r>
              <w:rPr>
                <w:rFonts w:cs="Arial"/>
                <w:color w:val="000000"/>
                <w:sz w:val="18"/>
                <w:szCs w:val="18"/>
                <w:lang w:val="en-GB"/>
              </w:rPr>
              <w:t>0</w:t>
            </w:r>
            <w:r w:rsidRPr="00950AB2">
              <w:rPr>
                <w:rFonts w:cs="Arial"/>
                <w:color w:val="000000"/>
                <w:sz w:val="18"/>
                <w:szCs w:val="18"/>
                <w:lang w:val="en-GB"/>
              </w:rPr>
              <w:t>%</w:t>
            </w:r>
          </w:p>
        </w:tc>
        <w:tc>
          <w:tcPr>
            <w:tcW w:w="344" w:type="pct"/>
            <w:tcBorders>
              <w:top w:val="nil"/>
              <w:left w:val="nil"/>
              <w:bottom w:val="single" w:sz="4" w:space="0" w:color="auto"/>
              <w:right w:val="single" w:sz="4" w:space="0" w:color="auto"/>
            </w:tcBorders>
            <w:shd w:val="clear" w:color="auto" w:fill="auto"/>
            <w:vAlign w:val="center"/>
            <w:hideMark/>
          </w:tcPr>
          <w:p w14:paraId="50F5D2A3" w14:textId="77777777" w:rsidR="006518A7" w:rsidRPr="00950AB2" w:rsidRDefault="006518A7" w:rsidP="00C64796">
            <w:pPr>
              <w:jc w:val="right"/>
              <w:rPr>
                <w:rFonts w:cs="Arial"/>
                <w:color w:val="000000"/>
                <w:sz w:val="18"/>
                <w:szCs w:val="18"/>
                <w:lang w:val="en-GB"/>
              </w:rPr>
            </w:pPr>
            <w:r>
              <w:rPr>
                <w:rFonts w:cs="Arial"/>
                <w:color w:val="000000"/>
                <w:sz w:val="18"/>
                <w:szCs w:val="18"/>
                <w:lang w:val="en-GB"/>
              </w:rPr>
              <w:t>100</w:t>
            </w:r>
            <w:r w:rsidRPr="00950AB2">
              <w:rPr>
                <w:rFonts w:cs="Arial"/>
                <w:color w:val="000000"/>
                <w:sz w:val="18"/>
                <w:szCs w:val="18"/>
                <w:lang w:val="en-GB"/>
              </w:rPr>
              <w:t>%</w:t>
            </w:r>
          </w:p>
        </w:tc>
        <w:tc>
          <w:tcPr>
            <w:tcW w:w="418" w:type="pct"/>
            <w:tcBorders>
              <w:top w:val="nil"/>
              <w:left w:val="nil"/>
              <w:bottom w:val="single" w:sz="4" w:space="0" w:color="auto"/>
              <w:right w:val="single" w:sz="4" w:space="0" w:color="auto"/>
            </w:tcBorders>
            <w:shd w:val="clear" w:color="auto" w:fill="auto"/>
            <w:vAlign w:val="center"/>
            <w:hideMark/>
          </w:tcPr>
          <w:p w14:paraId="019EA6A3"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hideMark/>
          </w:tcPr>
          <w:p w14:paraId="3E6B7283"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Low</w:t>
            </w:r>
          </w:p>
        </w:tc>
        <w:tc>
          <w:tcPr>
            <w:tcW w:w="668" w:type="pct"/>
            <w:tcBorders>
              <w:top w:val="single" w:sz="4" w:space="0" w:color="auto"/>
              <w:left w:val="nil"/>
              <w:bottom w:val="single" w:sz="4" w:space="0" w:color="auto"/>
              <w:right w:val="single" w:sz="4" w:space="0" w:color="auto"/>
            </w:tcBorders>
          </w:tcPr>
          <w:p w14:paraId="3B14E76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For private partner it may result in penalties, should they be not able to meet operational requirements. </w:t>
            </w:r>
          </w:p>
          <w:p w14:paraId="2BFD46BC" w14:textId="77777777" w:rsidR="006518A7" w:rsidRPr="00950AB2" w:rsidRDefault="006518A7" w:rsidP="00C64796">
            <w:pPr>
              <w:jc w:val="left"/>
              <w:rPr>
                <w:rFonts w:cs="Arial"/>
                <w:color w:val="000000"/>
                <w:sz w:val="18"/>
                <w:szCs w:val="18"/>
                <w:lang w:val="en-GB"/>
              </w:rPr>
            </w:pPr>
          </w:p>
          <w:p w14:paraId="2E8F739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For </w:t>
            </w:r>
            <w:proofErr w:type="spellStart"/>
            <w:r w:rsidRPr="00950AB2">
              <w:rPr>
                <w:rFonts w:cs="Arial"/>
                <w:color w:val="000000"/>
                <w:sz w:val="18"/>
                <w:szCs w:val="18"/>
                <w:lang w:val="en-GB"/>
              </w:rPr>
              <w:t>GoA</w:t>
            </w:r>
            <w:proofErr w:type="spellEnd"/>
            <w:r w:rsidRPr="00950AB2">
              <w:rPr>
                <w:rFonts w:cs="Arial"/>
                <w:color w:val="000000"/>
                <w:sz w:val="18"/>
                <w:szCs w:val="18"/>
                <w:lang w:val="en-GB"/>
              </w:rPr>
              <w:t xml:space="preserve"> it may result in disrupted operations of passport and ID card issuance, failure to realize benefits.</w:t>
            </w:r>
          </w:p>
        </w:tc>
        <w:tc>
          <w:tcPr>
            <w:tcW w:w="671" w:type="pct"/>
            <w:tcBorders>
              <w:top w:val="nil"/>
              <w:left w:val="nil"/>
              <w:bottom w:val="single" w:sz="4" w:space="0" w:color="auto"/>
              <w:right w:val="single" w:sz="4" w:space="0" w:color="auto"/>
            </w:tcBorders>
            <w:shd w:val="clear" w:color="auto" w:fill="auto"/>
            <w:vAlign w:val="center"/>
            <w:hideMark/>
          </w:tcPr>
          <w:p w14:paraId="1E64AE1F"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1. Potential penalties foreseen in the contract in case on unfulfilled obligations, other than due to force majeure events.</w:t>
            </w:r>
          </w:p>
          <w:p w14:paraId="1778A6DE" w14:textId="77777777" w:rsidR="006518A7" w:rsidRDefault="006518A7" w:rsidP="00C64796">
            <w:pPr>
              <w:rPr>
                <w:rFonts w:cs="Arial"/>
                <w:color w:val="000000"/>
                <w:sz w:val="18"/>
                <w:szCs w:val="18"/>
                <w:lang w:val="en-GB"/>
              </w:rPr>
            </w:pPr>
            <w:r w:rsidRPr="00950AB2">
              <w:rPr>
                <w:rFonts w:cs="Arial"/>
                <w:color w:val="000000"/>
                <w:sz w:val="18"/>
                <w:szCs w:val="18"/>
                <w:lang w:val="en-GB"/>
              </w:rPr>
              <w:t>2. Technical requirements include the obligation to prepare and maintain an adequate business continuity plan by the Private Partner.</w:t>
            </w:r>
          </w:p>
          <w:p w14:paraId="0AA650B1" w14:textId="77777777" w:rsidR="006518A7" w:rsidRPr="00950AB2" w:rsidRDefault="006518A7" w:rsidP="00C64796">
            <w:pPr>
              <w:rPr>
                <w:rFonts w:cs="Arial"/>
                <w:color w:val="000000"/>
                <w:sz w:val="18"/>
                <w:szCs w:val="18"/>
                <w:lang w:val="en-GB"/>
              </w:rPr>
            </w:pPr>
            <w:r>
              <w:rPr>
                <w:rFonts w:cs="Arial"/>
                <w:color w:val="000000"/>
                <w:sz w:val="18"/>
                <w:szCs w:val="18"/>
                <w:lang w:val="en-GB"/>
              </w:rPr>
              <w:t xml:space="preserve">3. Well prepared </w:t>
            </w:r>
            <w:r w:rsidRPr="00AE7777">
              <w:rPr>
                <w:rFonts w:cs="Arial"/>
                <w:color w:val="000000"/>
                <w:sz w:val="18"/>
                <w:szCs w:val="18"/>
                <w:lang w:val="en-GB"/>
              </w:rPr>
              <w:t xml:space="preserve">tender documents (RFQ, RFP and the PPP contract) </w:t>
            </w:r>
            <w:r>
              <w:rPr>
                <w:rFonts w:cs="Arial"/>
                <w:color w:val="000000"/>
                <w:sz w:val="18"/>
                <w:szCs w:val="18"/>
                <w:lang w:val="en-GB"/>
              </w:rPr>
              <w:t xml:space="preserve">will provide </w:t>
            </w:r>
            <w:r w:rsidRPr="00AE7777">
              <w:rPr>
                <w:rFonts w:cs="Arial"/>
                <w:color w:val="000000"/>
                <w:sz w:val="18"/>
                <w:szCs w:val="18"/>
                <w:lang w:val="en-GB"/>
              </w:rPr>
              <w:t>the requirements regarding the SPV to address this risk (incl. the rules re SPV's ownership structure prior to conclusion of the contract and during the contract period, the period during which no changes are allowed, the preliminary approval procedures for changes in ownership from the grantor etc.)</w:t>
            </w:r>
          </w:p>
        </w:tc>
      </w:tr>
      <w:tr w:rsidR="006518A7" w:rsidRPr="00AD0677" w14:paraId="7065CA18" w14:textId="77777777" w:rsidTr="006518A7">
        <w:trPr>
          <w:trHeight w:val="492"/>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22CF8E96"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lastRenderedPageBreak/>
              <w:t>21.</w:t>
            </w:r>
          </w:p>
        </w:tc>
        <w:tc>
          <w:tcPr>
            <w:tcW w:w="777" w:type="pct"/>
            <w:tcBorders>
              <w:top w:val="nil"/>
              <w:left w:val="nil"/>
              <w:bottom w:val="single" w:sz="4" w:space="0" w:color="auto"/>
              <w:right w:val="single" w:sz="4" w:space="0" w:color="auto"/>
            </w:tcBorders>
            <w:shd w:val="clear" w:color="000000" w:fill="E7E6E6"/>
            <w:vAlign w:val="center"/>
            <w:hideMark/>
          </w:tcPr>
          <w:p w14:paraId="0F9DC6D2"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System failures</w:t>
            </w:r>
          </w:p>
        </w:tc>
        <w:tc>
          <w:tcPr>
            <w:tcW w:w="1223" w:type="pct"/>
            <w:tcBorders>
              <w:top w:val="nil"/>
              <w:left w:val="nil"/>
              <w:bottom w:val="single" w:sz="4" w:space="0" w:color="auto"/>
              <w:right w:val="single" w:sz="4" w:space="0" w:color="auto"/>
            </w:tcBorders>
            <w:shd w:val="clear" w:color="auto" w:fill="auto"/>
            <w:vAlign w:val="center"/>
            <w:hideMark/>
          </w:tcPr>
          <w:p w14:paraId="32E10DDA"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System or its’ component failures leading to discontinued operations</w:t>
            </w:r>
          </w:p>
        </w:tc>
        <w:tc>
          <w:tcPr>
            <w:tcW w:w="356" w:type="pct"/>
            <w:tcBorders>
              <w:top w:val="nil"/>
              <w:left w:val="nil"/>
              <w:bottom w:val="single" w:sz="4" w:space="0" w:color="auto"/>
              <w:right w:val="single" w:sz="4" w:space="0" w:color="auto"/>
            </w:tcBorders>
            <w:shd w:val="clear" w:color="auto" w:fill="auto"/>
            <w:vAlign w:val="center"/>
            <w:hideMark/>
          </w:tcPr>
          <w:p w14:paraId="7EDD3A6F"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344" w:type="pct"/>
            <w:tcBorders>
              <w:top w:val="nil"/>
              <w:left w:val="nil"/>
              <w:bottom w:val="single" w:sz="4" w:space="0" w:color="auto"/>
              <w:right w:val="single" w:sz="4" w:space="0" w:color="auto"/>
            </w:tcBorders>
            <w:shd w:val="clear" w:color="auto" w:fill="auto"/>
            <w:vAlign w:val="center"/>
            <w:hideMark/>
          </w:tcPr>
          <w:p w14:paraId="0817B727"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418" w:type="pct"/>
            <w:tcBorders>
              <w:top w:val="nil"/>
              <w:left w:val="nil"/>
              <w:bottom w:val="single" w:sz="4" w:space="0" w:color="auto"/>
              <w:right w:val="single" w:sz="4" w:space="0" w:color="auto"/>
            </w:tcBorders>
            <w:shd w:val="clear" w:color="auto" w:fill="auto"/>
            <w:vAlign w:val="center"/>
            <w:hideMark/>
          </w:tcPr>
          <w:p w14:paraId="10DA0C5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hideMark/>
          </w:tcPr>
          <w:p w14:paraId="18182FCA"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vAlign w:val="center"/>
          </w:tcPr>
          <w:p w14:paraId="72EE051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This may result in private partners ability to meet defined SLAs.</w:t>
            </w:r>
          </w:p>
        </w:tc>
        <w:tc>
          <w:tcPr>
            <w:tcW w:w="671" w:type="pct"/>
            <w:tcBorders>
              <w:top w:val="nil"/>
              <w:left w:val="nil"/>
              <w:bottom w:val="single" w:sz="4" w:space="0" w:color="auto"/>
              <w:right w:val="single" w:sz="4" w:space="0" w:color="auto"/>
            </w:tcBorders>
            <w:shd w:val="clear" w:color="auto" w:fill="auto"/>
            <w:vAlign w:val="center"/>
            <w:hideMark/>
          </w:tcPr>
          <w:p w14:paraId="31E00E73"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1. To provide continuous maintenance and quality assurance as part of requirements in RFP.</w:t>
            </w:r>
          </w:p>
          <w:p w14:paraId="7B9724A5"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2. Technical requirements include the obligation to prepare and maintain an adequate business continuity plan by the Private Partner.</w:t>
            </w:r>
          </w:p>
        </w:tc>
      </w:tr>
      <w:tr w:rsidR="006518A7" w:rsidRPr="00AD0677" w14:paraId="518AFB77" w14:textId="77777777" w:rsidTr="006518A7">
        <w:trPr>
          <w:trHeight w:val="684"/>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0C06FA2D"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22.</w:t>
            </w:r>
          </w:p>
        </w:tc>
        <w:tc>
          <w:tcPr>
            <w:tcW w:w="777" w:type="pct"/>
            <w:tcBorders>
              <w:top w:val="nil"/>
              <w:left w:val="nil"/>
              <w:bottom w:val="single" w:sz="4" w:space="0" w:color="auto"/>
              <w:right w:val="single" w:sz="4" w:space="0" w:color="auto"/>
            </w:tcBorders>
            <w:shd w:val="clear" w:color="000000" w:fill="E7E6E6"/>
            <w:vAlign w:val="center"/>
            <w:hideMark/>
          </w:tcPr>
          <w:p w14:paraId="02B842C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Talent acquisition</w:t>
            </w:r>
          </w:p>
        </w:tc>
        <w:tc>
          <w:tcPr>
            <w:tcW w:w="1223" w:type="pct"/>
            <w:tcBorders>
              <w:top w:val="nil"/>
              <w:left w:val="nil"/>
              <w:bottom w:val="single" w:sz="4" w:space="0" w:color="auto"/>
              <w:right w:val="single" w:sz="4" w:space="0" w:color="auto"/>
            </w:tcBorders>
            <w:shd w:val="clear" w:color="auto" w:fill="auto"/>
            <w:vAlign w:val="center"/>
            <w:hideMark/>
          </w:tcPr>
          <w:p w14:paraId="71E68922"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Risk of not be able to attract required high-profile specialists to develop and maintain new technology systems </w:t>
            </w:r>
          </w:p>
        </w:tc>
        <w:tc>
          <w:tcPr>
            <w:tcW w:w="356" w:type="pct"/>
            <w:tcBorders>
              <w:top w:val="nil"/>
              <w:left w:val="nil"/>
              <w:bottom w:val="single" w:sz="4" w:space="0" w:color="auto"/>
              <w:right w:val="single" w:sz="4" w:space="0" w:color="auto"/>
            </w:tcBorders>
            <w:shd w:val="clear" w:color="auto" w:fill="auto"/>
            <w:vAlign w:val="center"/>
            <w:hideMark/>
          </w:tcPr>
          <w:p w14:paraId="3427CA13"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344" w:type="pct"/>
            <w:tcBorders>
              <w:top w:val="nil"/>
              <w:left w:val="nil"/>
              <w:bottom w:val="single" w:sz="4" w:space="0" w:color="auto"/>
              <w:right w:val="single" w:sz="4" w:space="0" w:color="auto"/>
            </w:tcBorders>
            <w:shd w:val="clear" w:color="auto" w:fill="auto"/>
            <w:vAlign w:val="center"/>
            <w:hideMark/>
          </w:tcPr>
          <w:p w14:paraId="75801AE2"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418" w:type="pct"/>
            <w:tcBorders>
              <w:top w:val="nil"/>
              <w:left w:val="nil"/>
              <w:bottom w:val="single" w:sz="4" w:space="0" w:color="auto"/>
              <w:right w:val="single" w:sz="4" w:space="0" w:color="auto"/>
            </w:tcBorders>
            <w:shd w:val="clear" w:color="auto" w:fill="auto"/>
            <w:vAlign w:val="center"/>
            <w:hideMark/>
          </w:tcPr>
          <w:p w14:paraId="4E94441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hideMark/>
          </w:tcPr>
          <w:p w14:paraId="2905071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40EDC3F0"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This may result in private partners ability to meet defined SLAs or increased costs of running operations (due to need to correct mistakes, etc.)</w:t>
            </w:r>
          </w:p>
        </w:tc>
        <w:tc>
          <w:tcPr>
            <w:tcW w:w="671" w:type="pct"/>
            <w:tcBorders>
              <w:top w:val="nil"/>
              <w:left w:val="nil"/>
              <w:bottom w:val="single" w:sz="4" w:space="0" w:color="auto"/>
              <w:right w:val="single" w:sz="4" w:space="0" w:color="auto"/>
            </w:tcBorders>
            <w:shd w:val="clear" w:color="auto" w:fill="auto"/>
            <w:vAlign w:val="center"/>
            <w:hideMark/>
          </w:tcPr>
          <w:p w14:paraId="3C101F3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Risk is low </w:t>
            </w:r>
            <w:proofErr w:type="gramStart"/>
            <w:r w:rsidRPr="00950AB2">
              <w:rPr>
                <w:rFonts w:cs="Arial"/>
                <w:color w:val="000000"/>
                <w:sz w:val="18"/>
                <w:szCs w:val="18"/>
                <w:lang w:val="en-GB"/>
              </w:rPr>
              <w:t>due to the fact that</w:t>
            </w:r>
            <w:proofErr w:type="gramEnd"/>
            <w:r w:rsidRPr="00950AB2">
              <w:rPr>
                <w:rFonts w:cs="Arial"/>
                <w:color w:val="000000"/>
                <w:sz w:val="18"/>
                <w:szCs w:val="18"/>
                <w:lang w:val="en-GB"/>
              </w:rPr>
              <w:t xml:space="preserve"> high-profile specialists locally are required on limited scale, while international expertise and training is expected to be sourced from international team.</w:t>
            </w:r>
          </w:p>
        </w:tc>
      </w:tr>
      <w:tr w:rsidR="006518A7" w:rsidRPr="00AD0677" w14:paraId="6CC533BB" w14:textId="77777777" w:rsidTr="006518A7">
        <w:trPr>
          <w:trHeight w:val="1608"/>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570AC46F"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t>23.</w:t>
            </w:r>
          </w:p>
        </w:tc>
        <w:tc>
          <w:tcPr>
            <w:tcW w:w="777" w:type="pct"/>
            <w:tcBorders>
              <w:top w:val="nil"/>
              <w:left w:val="nil"/>
              <w:bottom w:val="single" w:sz="4" w:space="0" w:color="auto"/>
              <w:right w:val="single" w:sz="4" w:space="0" w:color="auto"/>
            </w:tcBorders>
            <w:shd w:val="clear" w:color="000000" w:fill="E7E6E6"/>
            <w:vAlign w:val="center"/>
            <w:hideMark/>
          </w:tcPr>
          <w:p w14:paraId="531EA945"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Volume risk </w:t>
            </w:r>
          </w:p>
        </w:tc>
        <w:tc>
          <w:tcPr>
            <w:tcW w:w="1223" w:type="pct"/>
            <w:tcBorders>
              <w:top w:val="nil"/>
              <w:left w:val="nil"/>
              <w:bottom w:val="single" w:sz="4" w:space="0" w:color="auto"/>
              <w:right w:val="single" w:sz="4" w:space="0" w:color="auto"/>
            </w:tcBorders>
            <w:shd w:val="clear" w:color="auto" w:fill="auto"/>
            <w:vAlign w:val="center"/>
            <w:hideMark/>
          </w:tcPr>
          <w:p w14:paraId="5A5098D4" w14:textId="77777777" w:rsidR="006518A7" w:rsidRPr="00086582" w:rsidRDefault="006518A7" w:rsidP="00C64796">
            <w:pPr>
              <w:jc w:val="left"/>
              <w:rPr>
                <w:rFonts w:cs="Arial"/>
                <w:color w:val="000000"/>
                <w:sz w:val="18"/>
                <w:szCs w:val="18"/>
                <w:lang w:val="ru-RU"/>
              </w:rPr>
            </w:pPr>
            <w:r w:rsidRPr="00950AB2">
              <w:rPr>
                <w:rFonts w:cs="Arial"/>
                <w:color w:val="000000"/>
                <w:sz w:val="18"/>
                <w:szCs w:val="18"/>
                <w:lang w:val="en-GB"/>
              </w:rPr>
              <w:t>The Private Partner is paid on per-service basis. At the same time, the Government should guarantee the certain minimum volume of services to ensure that project is viable for the Private Partner. Certain demand risks may be created where the Private Partner is permitted to run commercial activities (in addition to the core service under the contract), however this will typically form a smaller part of the project’s expected revenues (up to 20 %).</w:t>
            </w:r>
          </w:p>
        </w:tc>
        <w:tc>
          <w:tcPr>
            <w:tcW w:w="356" w:type="pct"/>
            <w:tcBorders>
              <w:top w:val="nil"/>
              <w:left w:val="nil"/>
              <w:bottom w:val="single" w:sz="4" w:space="0" w:color="auto"/>
              <w:right w:val="single" w:sz="4" w:space="0" w:color="auto"/>
            </w:tcBorders>
            <w:shd w:val="clear" w:color="auto" w:fill="auto"/>
            <w:vAlign w:val="center"/>
            <w:hideMark/>
          </w:tcPr>
          <w:p w14:paraId="6103D1E8"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75%</w:t>
            </w:r>
          </w:p>
        </w:tc>
        <w:tc>
          <w:tcPr>
            <w:tcW w:w="344" w:type="pct"/>
            <w:tcBorders>
              <w:top w:val="nil"/>
              <w:left w:val="nil"/>
              <w:bottom w:val="single" w:sz="4" w:space="0" w:color="auto"/>
              <w:right w:val="single" w:sz="4" w:space="0" w:color="auto"/>
            </w:tcBorders>
            <w:shd w:val="clear" w:color="auto" w:fill="auto"/>
            <w:vAlign w:val="center"/>
            <w:hideMark/>
          </w:tcPr>
          <w:p w14:paraId="6A98A9C3"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25%</w:t>
            </w:r>
          </w:p>
        </w:tc>
        <w:tc>
          <w:tcPr>
            <w:tcW w:w="418" w:type="pct"/>
            <w:tcBorders>
              <w:top w:val="nil"/>
              <w:left w:val="nil"/>
              <w:bottom w:val="single" w:sz="4" w:space="0" w:color="auto"/>
              <w:right w:val="single" w:sz="4" w:space="0" w:color="auto"/>
            </w:tcBorders>
            <w:shd w:val="clear" w:color="auto" w:fill="auto"/>
            <w:vAlign w:val="center"/>
            <w:hideMark/>
          </w:tcPr>
          <w:p w14:paraId="7DB5A109"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hideMark/>
          </w:tcPr>
          <w:p w14:paraId="3BEFD87F"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7B514E49"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Without </w:t>
            </w:r>
            <w:r w:rsidRPr="005C05BC">
              <w:rPr>
                <w:rFonts w:cs="Arial"/>
                <w:color w:val="000000"/>
                <w:sz w:val="18"/>
                <w:szCs w:val="18"/>
                <w:lang w:val="en-GB"/>
              </w:rPr>
              <w:t>introducing the profit-sharing mechanism</w:t>
            </w:r>
            <w:proofErr w:type="gramStart"/>
            <w:r w:rsidRPr="005C05BC">
              <w:rPr>
                <w:rFonts w:cs="Arial"/>
                <w:color w:val="000000"/>
                <w:sz w:val="18"/>
                <w:szCs w:val="18"/>
                <w:lang w:val="en-GB"/>
              </w:rPr>
              <w:t>, ,</w:t>
            </w:r>
            <w:proofErr w:type="gramEnd"/>
            <w:r w:rsidRPr="005C05BC">
              <w:rPr>
                <w:rFonts w:cs="Arial"/>
                <w:color w:val="000000"/>
                <w:sz w:val="18"/>
                <w:szCs w:val="18"/>
                <w:lang w:val="en-GB"/>
              </w:rPr>
              <w:t xml:space="preserve"> the public</w:t>
            </w:r>
            <w:r w:rsidRPr="00950AB2">
              <w:rPr>
                <w:rFonts w:cs="Arial"/>
                <w:color w:val="000000"/>
                <w:sz w:val="18"/>
                <w:szCs w:val="18"/>
                <w:lang w:val="en-GB"/>
              </w:rPr>
              <w:t xml:space="preserve"> partner will bear the risk, meaning that the public side would be required to make compensation payments to the Private Partner if the actual volumes are lower than pre-agreed ones. Alternatively, if commercial activity ceases to be </w:t>
            </w:r>
            <w:r w:rsidRPr="00950AB2">
              <w:rPr>
                <w:rFonts w:cs="Arial"/>
                <w:color w:val="000000"/>
                <w:sz w:val="18"/>
                <w:szCs w:val="18"/>
                <w:lang w:val="en-GB"/>
              </w:rPr>
              <w:lastRenderedPageBreak/>
              <w:t xml:space="preserve">possible due to regulatory reasons or other factors attributable to the </w:t>
            </w:r>
            <w:proofErr w:type="gramStart"/>
            <w:r w:rsidRPr="00950AB2">
              <w:rPr>
                <w:rFonts w:cs="Arial"/>
                <w:color w:val="000000"/>
                <w:sz w:val="18"/>
                <w:szCs w:val="18"/>
                <w:lang w:val="en-GB"/>
              </w:rPr>
              <w:t>Public</w:t>
            </w:r>
            <w:proofErr w:type="gramEnd"/>
            <w:r w:rsidRPr="00950AB2">
              <w:rPr>
                <w:rFonts w:cs="Arial"/>
                <w:color w:val="000000"/>
                <w:sz w:val="18"/>
                <w:szCs w:val="18"/>
                <w:lang w:val="en-GB"/>
              </w:rPr>
              <w:t xml:space="preserve"> partner or government, the contract will provide for the consequences. This may include amending certain provisions, including price.</w:t>
            </w:r>
          </w:p>
        </w:tc>
        <w:tc>
          <w:tcPr>
            <w:tcW w:w="671" w:type="pct"/>
            <w:tcBorders>
              <w:top w:val="nil"/>
              <w:left w:val="nil"/>
              <w:bottom w:val="single" w:sz="4" w:space="0" w:color="auto"/>
              <w:right w:val="single" w:sz="4" w:space="0" w:color="auto"/>
            </w:tcBorders>
            <w:shd w:val="clear" w:color="auto" w:fill="auto"/>
            <w:vAlign w:val="center"/>
            <w:hideMark/>
          </w:tcPr>
          <w:p w14:paraId="7340B217"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lastRenderedPageBreak/>
              <w:t xml:space="preserve">Volume guarantees foreseen in the contract, Profit sharing payment mechanism. </w:t>
            </w:r>
          </w:p>
          <w:p w14:paraId="13FD0568" w14:textId="77777777" w:rsidR="006518A7" w:rsidRPr="00950AB2" w:rsidRDefault="006518A7" w:rsidP="00C64796">
            <w:pPr>
              <w:rPr>
                <w:rFonts w:cs="Arial"/>
                <w:color w:val="000000"/>
                <w:sz w:val="18"/>
                <w:szCs w:val="18"/>
                <w:lang w:val="en-GB"/>
              </w:rPr>
            </w:pPr>
          </w:p>
        </w:tc>
      </w:tr>
      <w:tr w:rsidR="006518A7" w:rsidRPr="00AD0677" w14:paraId="007E9DC7" w14:textId="77777777" w:rsidTr="006518A7">
        <w:trPr>
          <w:trHeight w:val="1152"/>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10509393"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t>24.</w:t>
            </w:r>
          </w:p>
        </w:tc>
        <w:tc>
          <w:tcPr>
            <w:tcW w:w="777" w:type="pct"/>
            <w:tcBorders>
              <w:top w:val="nil"/>
              <w:left w:val="nil"/>
              <w:bottom w:val="single" w:sz="4" w:space="0" w:color="auto"/>
              <w:right w:val="single" w:sz="4" w:space="0" w:color="auto"/>
            </w:tcBorders>
            <w:shd w:val="clear" w:color="000000" w:fill="E7E6E6"/>
            <w:vAlign w:val="center"/>
            <w:hideMark/>
          </w:tcPr>
          <w:p w14:paraId="7E3A29D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Availability of financing</w:t>
            </w:r>
          </w:p>
        </w:tc>
        <w:tc>
          <w:tcPr>
            <w:tcW w:w="1223" w:type="pct"/>
            <w:tcBorders>
              <w:top w:val="nil"/>
              <w:left w:val="nil"/>
              <w:bottom w:val="single" w:sz="4" w:space="0" w:color="auto"/>
              <w:right w:val="single" w:sz="4" w:space="0" w:color="auto"/>
            </w:tcBorders>
            <w:shd w:val="clear" w:color="auto" w:fill="auto"/>
            <w:vAlign w:val="center"/>
            <w:hideMark/>
          </w:tcPr>
          <w:p w14:paraId="186338B4"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The financial efficiency of the Project depends significantly on the value of capital that needs to be attracted for its implementation, </w:t>
            </w:r>
            <w:r>
              <w:rPr>
                <w:rFonts w:cs="Arial"/>
                <w:color w:val="000000"/>
                <w:sz w:val="18"/>
                <w:szCs w:val="18"/>
                <w:lang w:val="en-GB"/>
              </w:rPr>
              <w:t xml:space="preserve">which includes both </w:t>
            </w:r>
            <w:r w:rsidRPr="00E52752">
              <w:rPr>
                <w:rFonts w:cs="Arial"/>
                <w:color w:val="000000"/>
                <w:sz w:val="18"/>
                <w:szCs w:val="18"/>
                <w:lang w:val="en-GB"/>
              </w:rPr>
              <w:t xml:space="preserve">equity and </w:t>
            </w:r>
            <w:r>
              <w:rPr>
                <w:rFonts w:cs="Arial"/>
                <w:color w:val="000000"/>
                <w:sz w:val="18"/>
                <w:szCs w:val="18"/>
                <w:lang w:val="en-GB"/>
              </w:rPr>
              <w:t>debt</w:t>
            </w:r>
            <w:r w:rsidRPr="00E52752">
              <w:rPr>
                <w:rFonts w:cs="Arial"/>
                <w:color w:val="000000"/>
                <w:sz w:val="18"/>
                <w:szCs w:val="18"/>
                <w:lang w:val="en-GB"/>
              </w:rPr>
              <w:t xml:space="preserve"> financing</w:t>
            </w:r>
            <w:r>
              <w:rPr>
                <w:rFonts w:cs="Arial"/>
                <w:color w:val="000000"/>
                <w:sz w:val="18"/>
                <w:szCs w:val="18"/>
                <w:lang w:val="en-GB"/>
              </w:rPr>
              <w:t>.</w:t>
            </w:r>
            <w:r w:rsidRPr="00950AB2">
              <w:rPr>
                <w:rFonts w:cs="Arial"/>
                <w:color w:val="000000"/>
                <w:sz w:val="18"/>
                <w:szCs w:val="18"/>
                <w:lang w:val="en-GB"/>
              </w:rPr>
              <w:t xml:space="preserve"> </w:t>
            </w:r>
            <w:r>
              <w:rPr>
                <w:rFonts w:cs="Arial"/>
                <w:color w:val="000000"/>
                <w:sz w:val="18"/>
                <w:szCs w:val="18"/>
                <w:lang w:val="en-GB"/>
              </w:rPr>
              <w:t>Another part of it is</w:t>
            </w:r>
            <w:r w:rsidRPr="00950AB2">
              <w:rPr>
                <w:rFonts w:cs="Arial"/>
                <w:color w:val="000000"/>
                <w:sz w:val="18"/>
                <w:szCs w:val="18"/>
                <w:lang w:val="en-GB"/>
              </w:rPr>
              <w:t xml:space="preserve"> the ability of the Private Partner to attract such funding for a reasonable period</w:t>
            </w:r>
          </w:p>
        </w:tc>
        <w:tc>
          <w:tcPr>
            <w:tcW w:w="356" w:type="pct"/>
            <w:tcBorders>
              <w:top w:val="nil"/>
              <w:left w:val="nil"/>
              <w:bottom w:val="single" w:sz="4" w:space="0" w:color="auto"/>
              <w:right w:val="single" w:sz="4" w:space="0" w:color="auto"/>
            </w:tcBorders>
            <w:shd w:val="clear" w:color="auto" w:fill="auto"/>
            <w:vAlign w:val="center"/>
            <w:hideMark/>
          </w:tcPr>
          <w:p w14:paraId="31831BF2"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344" w:type="pct"/>
            <w:tcBorders>
              <w:top w:val="nil"/>
              <w:left w:val="nil"/>
              <w:bottom w:val="single" w:sz="4" w:space="0" w:color="auto"/>
              <w:right w:val="single" w:sz="4" w:space="0" w:color="auto"/>
            </w:tcBorders>
            <w:shd w:val="clear" w:color="auto" w:fill="auto"/>
            <w:vAlign w:val="center"/>
            <w:hideMark/>
          </w:tcPr>
          <w:p w14:paraId="0DD3E27E"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418" w:type="pct"/>
            <w:tcBorders>
              <w:top w:val="nil"/>
              <w:left w:val="nil"/>
              <w:bottom w:val="single" w:sz="4" w:space="0" w:color="auto"/>
              <w:right w:val="single" w:sz="4" w:space="0" w:color="auto"/>
            </w:tcBorders>
            <w:shd w:val="clear" w:color="auto" w:fill="auto"/>
            <w:vAlign w:val="center"/>
            <w:hideMark/>
          </w:tcPr>
          <w:p w14:paraId="14A4AB8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hideMark/>
          </w:tcPr>
          <w:p w14:paraId="0C544264"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Low</w:t>
            </w:r>
          </w:p>
        </w:tc>
        <w:tc>
          <w:tcPr>
            <w:tcW w:w="668" w:type="pct"/>
            <w:tcBorders>
              <w:top w:val="single" w:sz="4" w:space="0" w:color="auto"/>
              <w:left w:val="nil"/>
              <w:bottom w:val="single" w:sz="4" w:space="0" w:color="auto"/>
              <w:right w:val="single" w:sz="4" w:space="0" w:color="auto"/>
            </w:tcBorders>
          </w:tcPr>
          <w:p w14:paraId="1783B79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The ability to raise financing impact on the cost of capital for the investor, thus the total cost of the project for the investor, the expected rate return, etc.</w:t>
            </w:r>
          </w:p>
          <w:p w14:paraId="3326FDB7"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For the Public Partner it may result in a delay of the Project start and thus generation of Project benefits.</w:t>
            </w:r>
          </w:p>
        </w:tc>
        <w:tc>
          <w:tcPr>
            <w:tcW w:w="671" w:type="pct"/>
            <w:tcBorders>
              <w:top w:val="nil"/>
              <w:left w:val="nil"/>
              <w:bottom w:val="single" w:sz="4" w:space="0" w:color="auto"/>
              <w:right w:val="single" w:sz="4" w:space="0" w:color="auto"/>
            </w:tcBorders>
            <w:shd w:val="clear" w:color="auto" w:fill="auto"/>
            <w:vAlign w:val="center"/>
            <w:hideMark/>
          </w:tcPr>
          <w:p w14:paraId="240C21EF"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Transparent selection procedure to attract international investors with good credibility, introduction of stable PPP contract, existence of volume guarantee – all these measures increase the private partner’s capability to attract sufficient funding for a reasonable period.</w:t>
            </w:r>
            <w:r>
              <w:t xml:space="preserve"> </w:t>
            </w:r>
            <w:r w:rsidRPr="005C05BC">
              <w:rPr>
                <w:rFonts w:cs="Arial"/>
                <w:color w:val="000000"/>
                <w:sz w:val="18"/>
                <w:szCs w:val="18"/>
                <w:lang w:val="en-GB"/>
              </w:rPr>
              <w:t>Potential m</w:t>
            </w:r>
            <w:r w:rsidRPr="00BE2AB6">
              <w:rPr>
                <w:rFonts w:cs="Arial"/>
                <w:color w:val="000000"/>
                <w:sz w:val="18"/>
                <w:szCs w:val="18"/>
                <w:lang w:val="en-GB"/>
              </w:rPr>
              <w:t>itigation mechanisms</w:t>
            </w:r>
            <w:r>
              <w:rPr>
                <w:rFonts w:cs="Arial"/>
                <w:color w:val="000000"/>
                <w:sz w:val="18"/>
                <w:szCs w:val="18"/>
                <w:lang w:val="en-GB"/>
              </w:rPr>
              <w:t xml:space="preserve"> may be that </w:t>
            </w:r>
            <w:r w:rsidRPr="00BE2AB6">
              <w:rPr>
                <w:rFonts w:cs="Arial"/>
                <w:color w:val="000000"/>
                <w:sz w:val="18"/>
                <w:szCs w:val="18"/>
                <w:lang w:val="en-GB"/>
              </w:rPr>
              <w:t xml:space="preserve">one of the bidding criteria might be that the private partner has at least </w:t>
            </w:r>
            <w:r>
              <w:rPr>
                <w:rFonts w:cs="Arial"/>
                <w:color w:val="000000"/>
                <w:sz w:val="18"/>
                <w:szCs w:val="18"/>
                <w:lang w:val="en-GB"/>
              </w:rPr>
              <w:t xml:space="preserve">specific amount </w:t>
            </w:r>
            <w:proofErr w:type="gramStart"/>
            <w:r>
              <w:rPr>
                <w:rFonts w:cs="Arial"/>
                <w:color w:val="000000"/>
                <w:sz w:val="18"/>
                <w:szCs w:val="18"/>
                <w:lang w:val="en-GB"/>
              </w:rPr>
              <w:t xml:space="preserve">of </w:t>
            </w:r>
            <w:r w:rsidRPr="00BE2AB6">
              <w:rPr>
                <w:rFonts w:cs="Arial"/>
                <w:color w:val="000000"/>
                <w:sz w:val="18"/>
                <w:szCs w:val="18"/>
                <w:lang w:val="en-GB"/>
              </w:rPr>
              <w:t xml:space="preserve"> equity</w:t>
            </w:r>
            <w:proofErr w:type="gramEnd"/>
            <w:r w:rsidRPr="00BE2AB6">
              <w:rPr>
                <w:rFonts w:cs="Arial"/>
                <w:color w:val="000000"/>
                <w:sz w:val="18"/>
                <w:szCs w:val="18"/>
                <w:lang w:val="en-GB"/>
              </w:rPr>
              <w:t xml:space="preserve"> financing disbursed up-front </w:t>
            </w:r>
            <w:r>
              <w:rPr>
                <w:rFonts w:cs="Arial"/>
                <w:color w:val="000000"/>
                <w:sz w:val="18"/>
                <w:szCs w:val="18"/>
                <w:lang w:val="en-GB"/>
              </w:rPr>
              <w:t xml:space="preserve">– thus allowing </w:t>
            </w:r>
            <w:r w:rsidRPr="00BE2AB6">
              <w:rPr>
                <w:rFonts w:cs="Arial"/>
                <w:color w:val="000000"/>
                <w:sz w:val="18"/>
                <w:szCs w:val="18"/>
                <w:lang w:val="en-GB"/>
              </w:rPr>
              <w:t>to avoid over-leveraged structures</w:t>
            </w:r>
            <w:r>
              <w:rPr>
                <w:rFonts w:cs="Arial"/>
                <w:color w:val="000000"/>
                <w:sz w:val="18"/>
                <w:szCs w:val="18"/>
                <w:lang w:val="en-GB"/>
              </w:rPr>
              <w:t>.</w:t>
            </w:r>
          </w:p>
        </w:tc>
      </w:tr>
      <w:tr w:rsidR="006518A7" w:rsidRPr="00AD0677" w14:paraId="31E1128C" w14:textId="77777777" w:rsidTr="006518A7">
        <w:trPr>
          <w:trHeight w:val="1152"/>
        </w:trPr>
        <w:tc>
          <w:tcPr>
            <w:tcW w:w="210" w:type="pct"/>
            <w:tcBorders>
              <w:top w:val="nil"/>
              <w:left w:val="single" w:sz="4" w:space="0" w:color="auto"/>
              <w:bottom w:val="single" w:sz="4" w:space="0" w:color="auto"/>
              <w:right w:val="single" w:sz="4" w:space="0" w:color="auto"/>
            </w:tcBorders>
            <w:shd w:val="clear" w:color="000000" w:fill="EDEDED"/>
            <w:vAlign w:val="center"/>
          </w:tcPr>
          <w:p w14:paraId="14778781"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lastRenderedPageBreak/>
              <w:t>25.</w:t>
            </w:r>
          </w:p>
        </w:tc>
        <w:tc>
          <w:tcPr>
            <w:tcW w:w="777" w:type="pct"/>
            <w:tcBorders>
              <w:top w:val="nil"/>
              <w:left w:val="nil"/>
              <w:bottom w:val="single" w:sz="4" w:space="0" w:color="auto"/>
              <w:right w:val="single" w:sz="4" w:space="0" w:color="auto"/>
            </w:tcBorders>
            <w:shd w:val="clear" w:color="000000" w:fill="E7E6E6"/>
            <w:vAlign w:val="center"/>
          </w:tcPr>
          <w:p w14:paraId="489619C9"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Interest rate risk</w:t>
            </w:r>
          </w:p>
        </w:tc>
        <w:tc>
          <w:tcPr>
            <w:tcW w:w="1223" w:type="pct"/>
            <w:tcBorders>
              <w:top w:val="nil"/>
              <w:left w:val="nil"/>
              <w:bottom w:val="single" w:sz="4" w:space="0" w:color="auto"/>
              <w:right w:val="single" w:sz="4" w:space="0" w:color="auto"/>
            </w:tcBorders>
            <w:shd w:val="clear" w:color="auto" w:fill="auto"/>
            <w:vAlign w:val="center"/>
          </w:tcPr>
          <w:p w14:paraId="416802A8" w14:textId="77777777" w:rsidR="006518A7" w:rsidRPr="00950AB2" w:rsidRDefault="006518A7" w:rsidP="00C64796">
            <w:pPr>
              <w:jc w:val="left"/>
              <w:rPr>
                <w:rFonts w:cs="Arial"/>
                <w:color w:val="000000"/>
                <w:sz w:val="18"/>
                <w:szCs w:val="18"/>
                <w:lang w:val="en-GB"/>
              </w:rPr>
            </w:pPr>
            <w:r>
              <w:rPr>
                <w:rFonts w:cs="Arial"/>
                <w:color w:val="000000"/>
                <w:sz w:val="18"/>
                <w:szCs w:val="18"/>
                <w:lang w:val="en-GB"/>
              </w:rPr>
              <w:t xml:space="preserve">In some markets (especially in less stable) </w:t>
            </w:r>
            <w:r w:rsidRPr="007A60A9">
              <w:rPr>
                <w:rFonts w:cs="Arial"/>
                <w:color w:val="000000"/>
                <w:sz w:val="18"/>
                <w:szCs w:val="18"/>
                <w:lang w:val="en-GB"/>
              </w:rPr>
              <w:t>the risk of interest rate fluctuations</w:t>
            </w:r>
            <w:r w:rsidRPr="005C05BC">
              <w:rPr>
                <w:rFonts w:cs="Arial"/>
                <w:color w:val="000000"/>
                <w:sz w:val="18"/>
                <w:szCs w:val="18"/>
                <w:lang w:val="en-GB"/>
              </w:rPr>
              <w:t xml:space="preserve"> is </w:t>
            </w:r>
            <w:r w:rsidRPr="006D682A">
              <w:rPr>
                <w:rFonts w:cs="Arial"/>
                <w:color w:val="000000"/>
                <w:sz w:val="18"/>
                <w:szCs w:val="18"/>
                <w:lang w:val="en-GB"/>
              </w:rPr>
              <w:t>possible due to interest rate volatility or lack of long-term hedging availability</w:t>
            </w:r>
            <w:r>
              <w:rPr>
                <w:rFonts w:cs="Arial"/>
                <w:color w:val="000000"/>
                <w:sz w:val="18"/>
                <w:szCs w:val="18"/>
                <w:lang w:val="en-GB"/>
              </w:rPr>
              <w:t>. T</w:t>
            </w:r>
            <w:r w:rsidRPr="00E151EA">
              <w:rPr>
                <w:rFonts w:cs="Arial"/>
                <w:color w:val="000000"/>
                <w:sz w:val="18"/>
                <w:szCs w:val="18"/>
                <w:lang w:val="en-GB"/>
              </w:rPr>
              <w:t>he Private Partner will typically bear the risk of interest rate fluctuations over the life of the project, but this will depend on the specific project and its jurisdiction.</w:t>
            </w:r>
          </w:p>
        </w:tc>
        <w:tc>
          <w:tcPr>
            <w:tcW w:w="356" w:type="pct"/>
            <w:tcBorders>
              <w:top w:val="nil"/>
              <w:left w:val="nil"/>
              <w:bottom w:val="single" w:sz="4" w:space="0" w:color="auto"/>
              <w:right w:val="single" w:sz="4" w:space="0" w:color="auto"/>
            </w:tcBorders>
            <w:shd w:val="clear" w:color="auto" w:fill="auto"/>
            <w:vAlign w:val="center"/>
          </w:tcPr>
          <w:p w14:paraId="4E3AC5E4" w14:textId="77777777" w:rsidR="006518A7" w:rsidRPr="00950AB2" w:rsidRDefault="006518A7" w:rsidP="00C64796">
            <w:pPr>
              <w:jc w:val="right"/>
              <w:rPr>
                <w:rFonts w:cs="Arial"/>
                <w:color w:val="000000"/>
                <w:sz w:val="18"/>
                <w:szCs w:val="18"/>
                <w:lang w:val="en-GB"/>
              </w:rPr>
            </w:pPr>
            <w:r>
              <w:rPr>
                <w:rFonts w:cs="Arial"/>
                <w:color w:val="000000"/>
                <w:sz w:val="18"/>
                <w:szCs w:val="18"/>
                <w:lang w:val="en-GB"/>
              </w:rPr>
              <w:t>0%</w:t>
            </w:r>
          </w:p>
        </w:tc>
        <w:tc>
          <w:tcPr>
            <w:tcW w:w="344" w:type="pct"/>
            <w:tcBorders>
              <w:top w:val="nil"/>
              <w:left w:val="nil"/>
              <w:bottom w:val="single" w:sz="4" w:space="0" w:color="auto"/>
              <w:right w:val="single" w:sz="4" w:space="0" w:color="auto"/>
            </w:tcBorders>
            <w:shd w:val="clear" w:color="auto" w:fill="auto"/>
            <w:vAlign w:val="center"/>
          </w:tcPr>
          <w:p w14:paraId="3FC69405" w14:textId="77777777" w:rsidR="006518A7" w:rsidRPr="00950AB2" w:rsidRDefault="006518A7" w:rsidP="00C64796">
            <w:pPr>
              <w:jc w:val="right"/>
              <w:rPr>
                <w:rFonts w:cs="Arial"/>
                <w:color w:val="000000"/>
                <w:sz w:val="18"/>
                <w:szCs w:val="18"/>
                <w:lang w:val="en-GB"/>
              </w:rPr>
            </w:pPr>
            <w:r>
              <w:rPr>
                <w:rFonts w:cs="Arial"/>
                <w:color w:val="000000"/>
                <w:sz w:val="18"/>
                <w:szCs w:val="18"/>
                <w:lang w:val="en-GB"/>
              </w:rPr>
              <w:t>100%</w:t>
            </w:r>
          </w:p>
        </w:tc>
        <w:tc>
          <w:tcPr>
            <w:tcW w:w="418" w:type="pct"/>
            <w:tcBorders>
              <w:top w:val="nil"/>
              <w:left w:val="nil"/>
              <w:bottom w:val="single" w:sz="4" w:space="0" w:color="auto"/>
              <w:right w:val="single" w:sz="4" w:space="0" w:color="auto"/>
            </w:tcBorders>
            <w:shd w:val="clear" w:color="auto" w:fill="auto"/>
            <w:vAlign w:val="center"/>
          </w:tcPr>
          <w:p w14:paraId="402955A3"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tcPr>
          <w:p w14:paraId="0CC7358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515DDB7A" w14:textId="77777777" w:rsidR="006518A7" w:rsidRPr="00950AB2" w:rsidRDefault="006518A7" w:rsidP="00C64796">
            <w:pPr>
              <w:jc w:val="left"/>
              <w:rPr>
                <w:rFonts w:cs="Arial"/>
                <w:color w:val="000000"/>
                <w:sz w:val="18"/>
                <w:szCs w:val="18"/>
                <w:lang w:val="en-GB"/>
              </w:rPr>
            </w:pPr>
          </w:p>
        </w:tc>
        <w:tc>
          <w:tcPr>
            <w:tcW w:w="671" w:type="pct"/>
            <w:tcBorders>
              <w:top w:val="nil"/>
              <w:left w:val="nil"/>
              <w:bottom w:val="single" w:sz="4" w:space="0" w:color="auto"/>
              <w:right w:val="single" w:sz="4" w:space="0" w:color="auto"/>
            </w:tcBorders>
            <w:shd w:val="clear" w:color="auto" w:fill="auto"/>
            <w:vAlign w:val="center"/>
          </w:tcPr>
          <w:p w14:paraId="2A8E5860" w14:textId="77777777" w:rsidR="006518A7" w:rsidRPr="00950AB2" w:rsidRDefault="006518A7" w:rsidP="00C64796">
            <w:pPr>
              <w:rPr>
                <w:rFonts w:cs="Arial"/>
                <w:color w:val="000000"/>
                <w:sz w:val="18"/>
                <w:szCs w:val="18"/>
                <w:lang w:val="en-GB"/>
              </w:rPr>
            </w:pPr>
            <w:r>
              <w:rPr>
                <w:rFonts w:cs="Arial"/>
                <w:color w:val="000000"/>
                <w:sz w:val="18"/>
                <w:szCs w:val="18"/>
                <w:lang w:val="en-GB"/>
              </w:rPr>
              <w:t xml:space="preserve">The possible mitigation measures may include </w:t>
            </w:r>
            <w:r w:rsidRPr="00207706">
              <w:rPr>
                <w:rFonts w:cs="Arial"/>
                <w:color w:val="000000"/>
                <w:sz w:val="18"/>
                <w:szCs w:val="18"/>
                <w:lang w:val="en-GB"/>
              </w:rPr>
              <w:t>hedging arrangements, to the extent possible or necessary in the relevant market. These should ensure the interest rate the Private Partner is required to pay is effectively fixed instead of fluctuating and protects it against adverse rate movements. The cost of such hedging will be part of the contract price bid.</w:t>
            </w:r>
          </w:p>
        </w:tc>
      </w:tr>
      <w:tr w:rsidR="006518A7" w:rsidRPr="00AD0677" w14:paraId="7F38BE32" w14:textId="77777777" w:rsidTr="006518A7">
        <w:trPr>
          <w:trHeight w:val="468"/>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22915D21"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t>26.</w:t>
            </w:r>
          </w:p>
        </w:tc>
        <w:tc>
          <w:tcPr>
            <w:tcW w:w="777" w:type="pct"/>
            <w:tcBorders>
              <w:top w:val="nil"/>
              <w:left w:val="nil"/>
              <w:bottom w:val="single" w:sz="4" w:space="0" w:color="auto"/>
              <w:right w:val="single" w:sz="4" w:space="0" w:color="auto"/>
            </w:tcBorders>
            <w:shd w:val="clear" w:color="000000" w:fill="E7E6E6"/>
            <w:vAlign w:val="center"/>
            <w:hideMark/>
          </w:tcPr>
          <w:p w14:paraId="3DAE6D6A"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Inflation</w:t>
            </w:r>
          </w:p>
        </w:tc>
        <w:tc>
          <w:tcPr>
            <w:tcW w:w="1223" w:type="pct"/>
            <w:tcBorders>
              <w:top w:val="nil"/>
              <w:left w:val="nil"/>
              <w:bottom w:val="single" w:sz="4" w:space="0" w:color="auto"/>
              <w:right w:val="single" w:sz="4" w:space="0" w:color="auto"/>
            </w:tcBorders>
            <w:shd w:val="clear" w:color="auto" w:fill="auto"/>
            <w:vAlign w:val="center"/>
            <w:hideMark/>
          </w:tcPr>
          <w:p w14:paraId="67A85EB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The risk of construction and operational costs increasing due to inflation. The risk of construction costs increasing due to inflation may be borne by the Private Partner who will generally price in this risk in markets where such risk can be projected and quantified. Inflation risk in the operating phase is typically borne by the </w:t>
            </w:r>
            <w:proofErr w:type="gramStart"/>
            <w:r w:rsidRPr="00950AB2">
              <w:rPr>
                <w:rFonts w:cs="Arial"/>
                <w:color w:val="000000"/>
                <w:sz w:val="18"/>
                <w:szCs w:val="18"/>
                <w:lang w:val="en-GB"/>
              </w:rPr>
              <w:t>Public</w:t>
            </w:r>
            <w:proofErr w:type="gramEnd"/>
            <w:r w:rsidRPr="00950AB2">
              <w:rPr>
                <w:rFonts w:cs="Arial"/>
                <w:color w:val="000000"/>
                <w:sz w:val="18"/>
                <w:szCs w:val="18"/>
                <w:lang w:val="en-GB"/>
              </w:rPr>
              <w:t xml:space="preserve"> partner.</w:t>
            </w:r>
          </w:p>
        </w:tc>
        <w:tc>
          <w:tcPr>
            <w:tcW w:w="356" w:type="pct"/>
            <w:tcBorders>
              <w:top w:val="nil"/>
              <w:left w:val="nil"/>
              <w:bottom w:val="single" w:sz="4" w:space="0" w:color="auto"/>
              <w:right w:val="single" w:sz="4" w:space="0" w:color="auto"/>
            </w:tcBorders>
            <w:shd w:val="clear" w:color="auto" w:fill="auto"/>
            <w:vAlign w:val="center"/>
            <w:hideMark/>
          </w:tcPr>
          <w:p w14:paraId="414658D7" w14:textId="77777777" w:rsidR="006518A7" w:rsidRPr="00950AB2" w:rsidRDefault="006518A7" w:rsidP="00C64796">
            <w:pPr>
              <w:jc w:val="right"/>
              <w:rPr>
                <w:rFonts w:cs="Arial"/>
                <w:color w:val="000000"/>
                <w:sz w:val="18"/>
                <w:szCs w:val="18"/>
                <w:lang w:val="en-GB"/>
              </w:rPr>
            </w:pPr>
            <w:r>
              <w:rPr>
                <w:rFonts w:cs="Arial"/>
                <w:color w:val="000000"/>
                <w:sz w:val="18"/>
                <w:szCs w:val="18"/>
                <w:lang w:val="en-GB"/>
              </w:rPr>
              <w:t>100</w:t>
            </w:r>
            <w:r w:rsidRPr="00950AB2">
              <w:rPr>
                <w:rFonts w:cs="Arial"/>
                <w:color w:val="000000"/>
                <w:sz w:val="18"/>
                <w:szCs w:val="18"/>
                <w:lang w:val="en-GB"/>
              </w:rPr>
              <w:t>%</w:t>
            </w:r>
          </w:p>
        </w:tc>
        <w:tc>
          <w:tcPr>
            <w:tcW w:w="344" w:type="pct"/>
            <w:tcBorders>
              <w:top w:val="nil"/>
              <w:left w:val="nil"/>
              <w:bottom w:val="single" w:sz="4" w:space="0" w:color="auto"/>
              <w:right w:val="single" w:sz="4" w:space="0" w:color="auto"/>
            </w:tcBorders>
            <w:shd w:val="clear" w:color="auto" w:fill="auto"/>
            <w:vAlign w:val="center"/>
            <w:hideMark/>
          </w:tcPr>
          <w:p w14:paraId="42CAF916" w14:textId="77777777" w:rsidR="006518A7" w:rsidRPr="00950AB2" w:rsidRDefault="006518A7" w:rsidP="00C64796">
            <w:pPr>
              <w:jc w:val="right"/>
              <w:rPr>
                <w:rFonts w:cs="Arial"/>
                <w:color w:val="000000"/>
                <w:sz w:val="18"/>
                <w:szCs w:val="18"/>
                <w:lang w:val="en-GB"/>
              </w:rPr>
            </w:pPr>
            <w:r>
              <w:rPr>
                <w:rFonts w:cs="Arial"/>
                <w:color w:val="000000"/>
                <w:sz w:val="18"/>
                <w:szCs w:val="18"/>
                <w:lang w:val="en-GB"/>
              </w:rPr>
              <w:t>0</w:t>
            </w:r>
            <w:r w:rsidRPr="00950AB2">
              <w:rPr>
                <w:rFonts w:cs="Arial"/>
                <w:color w:val="000000"/>
                <w:sz w:val="18"/>
                <w:szCs w:val="18"/>
                <w:lang w:val="en-GB"/>
              </w:rPr>
              <w:t>%</w:t>
            </w:r>
          </w:p>
        </w:tc>
        <w:tc>
          <w:tcPr>
            <w:tcW w:w="418" w:type="pct"/>
            <w:tcBorders>
              <w:top w:val="nil"/>
              <w:left w:val="nil"/>
              <w:bottom w:val="single" w:sz="4" w:space="0" w:color="auto"/>
              <w:right w:val="single" w:sz="4" w:space="0" w:color="auto"/>
            </w:tcBorders>
            <w:shd w:val="clear" w:color="auto" w:fill="auto"/>
            <w:vAlign w:val="center"/>
            <w:hideMark/>
          </w:tcPr>
          <w:p w14:paraId="7FC297AE"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hideMark/>
          </w:tcPr>
          <w:p w14:paraId="6741F47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vAlign w:val="center"/>
          </w:tcPr>
          <w:p w14:paraId="684CFFB4"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Deviation of the inflation rate impacts the project costs and results in overutilization of budgetary funds, if the risk is borne by the public side</w:t>
            </w:r>
          </w:p>
        </w:tc>
        <w:tc>
          <w:tcPr>
            <w:tcW w:w="671" w:type="pct"/>
            <w:tcBorders>
              <w:top w:val="nil"/>
              <w:left w:val="nil"/>
              <w:bottom w:val="single" w:sz="4" w:space="0" w:color="auto"/>
              <w:right w:val="single" w:sz="4" w:space="0" w:color="auto"/>
            </w:tcBorders>
            <w:shd w:val="clear" w:color="auto" w:fill="auto"/>
            <w:vAlign w:val="center"/>
            <w:hideMark/>
          </w:tcPr>
          <w:p w14:paraId="613D1418"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Currency rate or inflation rate may be included as an index to the price. Typically, payment to the private partner may include both a fixed component (where debt has been hedged) and a variable component which includes an escalation factor that accounts for rises in costs.</w:t>
            </w:r>
          </w:p>
        </w:tc>
      </w:tr>
      <w:tr w:rsidR="006518A7" w:rsidRPr="00AD0677" w14:paraId="34F7C5D1"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3EE5906E"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t>27.</w:t>
            </w:r>
          </w:p>
        </w:tc>
        <w:tc>
          <w:tcPr>
            <w:tcW w:w="777" w:type="pct"/>
            <w:tcBorders>
              <w:top w:val="nil"/>
              <w:left w:val="nil"/>
              <w:bottom w:val="single" w:sz="4" w:space="0" w:color="auto"/>
              <w:right w:val="single" w:sz="4" w:space="0" w:color="auto"/>
            </w:tcBorders>
            <w:shd w:val="clear" w:color="000000" w:fill="E7E6E6"/>
            <w:vAlign w:val="center"/>
            <w:hideMark/>
          </w:tcPr>
          <w:p w14:paraId="07E2A70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Exchange rate fluctuation</w:t>
            </w:r>
          </w:p>
        </w:tc>
        <w:tc>
          <w:tcPr>
            <w:tcW w:w="1223" w:type="pct"/>
            <w:tcBorders>
              <w:top w:val="nil"/>
              <w:left w:val="nil"/>
              <w:bottom w:val="single" w:sz="4" w:space="0" w:color="auto"/>
              <w:right w:val="single" w:sz="4" w:space="0" w:color="auto"/>
            </w:tcBorders>
            <w:shd w:val="clear" w:color="auto" w:fill="auto"/>
            <w:vAlign w:val="center"/>
            <w:hideMark/>
          </w:tcPr>
          <w:p w14:paraId="1D2D7914"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Rate changes during project, i.e., operating costs in currency different to the currency of the PPP contract payments. Allocation of exchange rate fluctuation risk over the life of a project will depend on the relevant project jurisdiction and the </w:t>
            </w:r>
            <w:r w:rsidRPr="00950AB2">
              <w:rPr>
                <w:rFonts w:cs="Arial"/>
                <w:color w:val="000000"/>
                <w:sz w:val="18"/>
                <w:szCs w:val="18"/>
                <w:lang w:val="en-GB"/>
              </w:rPr>
              <w:lastRenderedPageBreak/>
              <w:t xml:space="preserve">nature of the project costs. In most PPPs, the Private Partner will bid and be paid by the </w:t>
            </w:r>
            <w:proofErr w:type="gramStart"/>
            <w:r w:rsidRPr="00950AB2">
              <w:rPr>
                <w:rFonts w:cs="Arial"/>
                <w:color w:val="000000"/>
                <w:sz w:val="18"/>
                <w:szCs w:val="18"/>
                <w:lang w:val="en-GB"/>
              </w:rPr>
              <w:t>Public</w:t>
            </w:r>
            <w:proofErr w:type="gramEnd"/>
            <w:r w:rsidRPr="00950AB2">
              <w:rPr>
                <w:rFonts w:cs="Arial"/>
                <w:color w:val="000000"/>
                <w:sz w:val="18"/>
                <w:szCs w:val="18"/>
                <w:lang w:val="en-GB"/>
              </w:rPr>
              <w:t xml:space="preserve"> partner in the domestic currency of that country. It may, however, incur costs in a foreign currency and such costs are translated into the bid price in the domestic currency </w:t>
            </w:r>
            <w:proofErr w:type="gramStart"/>
            <w:r w:rsidRPr="00950AB2">
              <w:rPr>
                <w:rFonts w:cs="Arial"/>
                <w:color w:val="000000"/>
                <w:sz w:val="18"/>
                <w:szCs w:val="18"/>
                <w:lang w:val="en-GB"/>
              </w:rPr>
              <w:t>on the basis of</w:t>
            </w:r>
            <w:proofErr w:type="gramEnd"/>
            <w:r w:rsidRPr="00950AB2">
              <w:rPr>
                <w:rFonts w:cs="Arial"/>
                <w:color w:val="000000"/>
                <w:sz w:val="18"/>
                <w:szCs w:val="18"/>
                <w:lang w:val="en-GB"/>
              </w:rPr>
              <w:t xml:space="preserve"> a particular exchange rate.</w:t>
            </w:r>
          </w:p>
        </w:tc>
        <w:tc>
          <w:tcPr>
            <w:tcW w:w="356" w:type="pct"/>
            <w:tcBorders>
              <w:top w:val="nil"/>
              <w:left w:val="nil"/>
              <w:bottom w:val="single" w:sz="4" w:space="0" w:color="auto"/>
              <w:right w:val="single" w:sz="4" w:space="0" w:color="auto"/>
            </w:tcBorders>
            <w:shd w:val="clear" w:color="auto" w:fill="auto"/>
            <w:vAlign w:val="center"/>
            <w:hideMark/>
          </w:tcPr>
          <w:p w14:paraId="748AB214" w14:textId="77777777" w:rsidR="006518A7" w:rsidRPr="00950AB2" w:rsidRDefault="006518A7" w:rsidP="00C64796">
            <w:pPr>
              <w:jc w:val="right"/>
              <w:rPr>
                <w:rFonts w:cs="Arial"/>
                <w:color w:val="000000"/>
                <w:sz w:val="18"/>
                <w:szCs w:val="18"/>
                <w:lang w:val="en-GB"/>
              </w:rPr>
            </w:pPr>
            <w:r>
              <w:rPr>
                <w:rFonts w:cs="Arial"/>
                <w:color w:val="000000"/>
                <w:sz w:val="18"/>
                <w:szCs w:val="18"/>
                <w:lang w:val="en-GB"/>
              </w:rPr>
              <w:lastRenderedPageBreak/>
              <w:t>0</w:t>
            </w:r>
            <w:r w:rsidRPr="00950AB2">
              <w:rPr>
                <w:rFonts w:cs="Arial"/>
                <w:color w:val="000000"/>
                <w:sz w:val="18"/>
                <w:szCs w:val="18"/>
                <w:lang w:val="en-GB"/>
              </w:rPr>
              <w:t>%</w:t>
            </w:r>
          </w:p>
        </w:tc>
        <w:tc>
          <w:tcPr>
            <w:tcW w:w="344" w:type="pct"/>
            <w:tcBorders>
              <w:top w:val="nil"/>
              <w:left w:val="nil"/>
              <w:bottom w:val="single" w:sz="4" w:space="0" w:color="auto"/>
              <w:right w:val="single" w:sz="4" w:space="0" w:color="auto"/>
            </w:tcBorders>
            <w:shd w:val="clear" w:color="auto" w:fill="auto"/>
            <w:vAlign w:val="center"/>
            <w:hideMark/>
          </w:tcPr>
          <w:p w14:paraId="07DEA3DA" w14:textId="77777777" w:rsidR="006518A7" w:rsidRPr="00950AB2" w:rsidRDefault="006518A7" w:rsidP="00C64796">
            <w:pPr>
              <w:jc w:val="right"/>
              <w:rPr>
                <w:rFonts w:cs="Arial"/>
                <w:color w:val="000000"/>
                <w:sz w:val="18"/>
                <w:szCs w:val="18"/>
                <w:lang w:val="en-GB"/>
              </w:rPr>
            </w:pPr>
            <w:r>
              <w:rPr>
                <w:rFonts w:cs="Arial"/>
                <w:color w:val="000000"/>
                <w:sz w:val="18"/>
                <w:szCs w:val="18"/>
                <w:lang w:val="en-GB"/>
              </w:rPr>
              <w:t>100</w:t>
            </w:r>
            <w:r w:rsidRPr="00950AB2">
              <w:rPr>
                <w:rFonts w:cs="Arial"/>
                <w:color w:val="000000"/>
                <w:sz w:val="18"/>
                <w:szCs w:val="18"/>
                <w:lang w:val="en-GB"/>
              </w:rPr>
              <w:t>%</w:t>
            </w:r>
          </w:p>
        </w:tc>
        <w:tc>
          <w:tcPr>
            <w:tcW w:w="418" w:type="pct"/>
            <w:tcBorders>
              <w:top w:val="nil"/>
              <w:left w:val="nil"/>
              <w:bottom w:val="single" w:sz="4" w:space="0" w:color="auto"/>
              <w:right w:val="single" w:sz="4" w:space="0" w:color="auto"/>
            </w:tcBorders>
            <w:shd w:val="clear" w:color="auto" w:fill="auto"/>
            <w:vAlign w:val="center"/>
            <w:hideMark/>
          </w:tcPr>
          <w:p w14:paraId="03409BF8"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25%-40%</w:t>
            </w:r>
          </w:p>
        </w:tc>
        <w:tc>
          <w:tcPr>
            <w:tcW w:w="333" w:type="pct"/>
            <w:tcBorders>
              <w:top w:val="nil"/>
              <w:left w:val="nil"/>
              <w:bottom w:val="single" w:sz="4" w:space="0" w:color="auto"/>
              <w:right w:val="single" w:sz="4" w:space="0" w:color="auto"/>
            </w:tcBorders>
            <w:shd w:val="clear" w:color="auto" w:fill="auto"/>
            <w:vAlign w:val="center"/>
            <w:hideMark/>
          </w:tcPr>
          <w:p w14:paraId="60AC2E4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4878CBB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Deviation of the exchange rate impacts the project costs and results in change of financial outcomes for the </w:t>
            </w:r>
            <w:r w:rsidRPr="00950AB2">
              <w:rPr>
                <w:rFonts w:cs="Arial"/>
                <w:color w:val="000000"/>
                <w:sz w:val="18"/>
                <w:szCs w:val="18"/>
                <w:lang w:val="en-GB"/>
              </w:rPr>
              <w:lastRenderedPageBreak/>
              <w:t>private partner (eventually, they will assume the risk and consider it in the price of the service) or overutilization of budgetary funds, if the risk is borne by the public side.</w:t>
            </w:r>
          </w:p>
        </w:tc>
        <w:tc>
          <w:tcPr>
            <w:tcW w:w="671" w:type="pct"/>
            <w:tcBorders>
              <w:top w:val="nil"/>
              <w:left w:val="nil"/>
              <w:bottom w:val="single" w:sz="4" w:space="0" w:color="auto"/>
              <w:right w:val="single" w:sz="4" w:space="0" w:color="auto"/>
            </w:tcBorders>
            <w:shd w:val="clear" w:color="auto" w:fill="auto"/>
            <w:vAlign w:val="center"/>
            <w:hideMark/>
          </w:tcPr>
          <w:p w14:paraId="1FFFD76A"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lastRenderedPageBreak/>
              <w:t xml:space="preserve">Currency rate or inflation rate may be included as an index to the price. Typically, payment to the private partner may </w:t>
            </w:r>
            <w:r w:rsidRPr="00950AB2">
              <w:rPr>
                <w:rFonts w:cs="Arial"/>
                <w:color w:val="000000"/>
                <w:sz w:val="18"/>
                <w:szCs w:val="18"/>
                <w:lang w:val="en-GB"/>
              </w:rPr>
              <w:lastRenderedPageBreak/>
              <w:t>include both a fixed component (where debt has been hedged) and a variable component which includes an escalation factor that accounts for rises in costs</w:t>
            </w:r>
          </w:p>
        </w:tc>
      </w:tr>
      <w:tr w:rsidR="006518A7" w:rsidRPr="00AD0677" w14:paraId="18C2F633"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25DBA8E5"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lastRenderedPageBreak/>
              <w:t>28.</w:t>
            </w:r>
          </w:p>
        </w:tc>
        <w:tc>
          <w:tcPr>
            <w:tcW w:w="777" w:type="pct"/>
            <w:tcBorders>
              <w:top w:val="nil"/>
              <w:left w:val="nil"/>
              <w:bottom w:val="single" w:sz="4" w:space="0" w:color="auto"/>
              <w:right w:val="single" w:sz="4" w:space="0" w:color="auto"/>
            </w:tcBorders>
            <w:shd w:val="clear" w:color="000000" w:fill="E7E6E6"/>
            <w:vAlign w:val="center"/>
            <w:hideMark/>
          </w:tcPr>
          <w:p w14:paraId="76EB1103"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Resistance from key stakeholders</w:t>
            </w:r>
          </w:p>
        </w:tc>
        <w:tc>
          <w:tcPr>
            <w:tcW w:w="1223" w:type="pct"/>
            <w:tcBorders>
              <w:top w:val="nil"/>
              <w:left w:val="nil"/>
              <w:bottom w:val="single" w:sz="4" w:space="0" w:color="auto"/>
              <w:right w:val="single" w:sz="4" w:space="0" w:color="auto"/>
            </w:tcBorders>
            <w:shd w:val="clear" w:color="auto" w:fill="auto"/>
            <w:vAlign w:val="center"/>
            <w:hideMark/>
          </w:tcPr>
          <w:p w14:paraId="32F89D4C"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Risk includes any external parties impacted by the proposed changes – incl. both. government stakeholders and citizens,</w:t>
            </w:r>
          </w:p>
          <w:p w14:paraId="06B7342B"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The Government is in a better position to regulate these risks and develop an appropriate strategy to minimize them</w:t>
            </w:r>
          </w:p>
        </w:tc>
        <w:tc>
          <w:tcPr>
            <w:tcW w:w="356" w:type="pct"/>
            <w:tcBorders>
              <w:top w:val="nil"/>
              <w:left w:val="nil"/>
              <w:bottom w:val="single" w:sz="4" w:space="0" w:color="auto"/>
              <w:right w:val="single" w:sz="4" w:space="0" w:color="auto"/>
            </w:tcBorders>
            <w:shd w:val="clear" w:color="auto" w:fill="auto"/>
            <w:vAlign w:val="center"/>
            <w:hideMark/>
          </w:tcPr>
          <w:p w14:paraId="3D591B01"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344" w:type="pct"/>
            <w:tcBorders>
              <w:top w:val="nil"/>
              <w:left w:val="nil"/>
              <w:bottom w:val="single" w:sz="4" w:space="0" w:color="auto"/>
              <w:right w:val="single" w:sz="4" w:space="0" w:color="auto"/>
            </w:tcBorders>
            <w:shd w:val="clear" w:color="auto" w:fill="auto"/>
            <w:vAlign w:val="center"/>
            <w:hideMark/>
          </w:tcPr>
          <w:p w14:paraId="1E6DD6D9"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418" w:type="pct"/>
            <w:tcBorders>
              <w:top w:val="nil"/>
              <w:left w:val="nil"/>
              <w:bottom w:val="single" w:sz="4" w:space="0" w:color="auto"/>
              <w:right w:val="single" w:sz="4" w:space="0" w:color="auto"/>
            </w:tcBorders>
            <w:shd w:val="clear" w:color="auto" w:fill="auto"/>
            <w:vAlign w:val="center"/>
            <w:hideMark/>
          </w:tcPr>
          <w:p w14:paraId="76D8025E"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hideMark/>
          </w:tcPr>
          <w:p w14:paraId="57DFD18C"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4076DC60"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This may result in prolonged decisions, approvals that may impact design and construction phase or impact the volume of services (please see the “volume risk”).</w:t>
            </w:r>
          </w:p>
        </w:tc>
        <w:tc>
          <w:tcPr>
            <w:tcW w:w="671" w:type="pct"/>
            <w:tcBorders>
              <w:top w:val="nil"/>
              <w:left w:val="nil"/>
              <w:bottom w:val="single" w:sz="4" w:space="0" w:color="auto"/>
              <w:right w:val="single" w:sz="4" w:space="0" w:color="auto"/>
            </w:tcBorders>
            <w:shd w:val="clear" w:color="auto" w:fill="auto"/>
            <w:vAlign w:val="center"/>
            <w:hideMark/>
          </w:tcPr>
          <w:p w14:paraId="7D8C0A7D" w14:textId="77777777" w:rsidR="006518A7" w:rsidRPr="00950AB2" w:rsidRDefault="006518A7" w:rsidP="00C64796">
            <w:pPr>
              <w:rPr>
                <w:rFonts w:cs="Arial"/>
                <w:color w:val="000000"/>
                <w:sz w:val="18"/>
                <w:szCs w:val="18"/>
                <w:lang w:val="en-GB"/>
              </w:rPr>
            </w:pPr>
            <w:r>
              <w:rPr>
                <w:rFonts w:cs="Arial"/>
                <w:color w:val="000000"/>
                <w:sz w:val="18"/>
                <w:szCs w:val="18"/>
                <w:lang w:val="en-GB"/>
              </w:rPr>
              <w:t xml:space="preserve">1. </w:t>
            </w:r>
            <w:r w:rsidRPr="00950AB2">
              <w:rPr>
                <w:rFonts w:cs="Arial"/>
                <w:color w:val="000000"/>
                <w:sz w:val="18"/>
                <w:szCs w:val="18"/>
                <w:lang w:val="en-GB"/>
              </w:rPr>
              <w:t>Close cooperation in all government levels from early stage in the project.</w:t>
            </w:r>
          </w:p>
          <w:p w14:paraId="007B6449" w14:textId="77777777" w:rsidR="006518A7" w:rsidRPr="00950AB2" w:rsidRDefault="006518A7" w:rsidP="00C64796">
            <w:pPr>
              <w:rPr>
                <w:rFonts w:cs="Arial"/>
                <w:color w:val="000000"/>
                <w:sz w:val="18"/>
                <w:szCs w:val="18"/>
                <w:lang w:val="lt-LT"/>
              </w:rPr>
            </w:pPr>
            <w:r>
              <w:rPr>
                <w:rFonts w:cs="Arial"/>
                <w:color w:val="000000"/>
                <w:sz w:val="18"/>
                <w:szCs w:val="18"/>
                <w:lang w:val="en-GB"/>
              </w:rPr>
              <w:t xml:space="preserve">2. </w:t>
            </w:r>
            <w:r w:rsidRPr="00950AB2">
              <w:rPr>
                <w:rFonts w:cs="Arial"/>
                <w:color w:val="000000"/>
                <w:sz w:val="18"/>
                <w:szCs w:val="18"/>
                <w:lang w:val="en-GB"/>
              </w:rPr>
              <w:t xml:space="preserve">Contact monitoring committee established to monitor and resolve any blocks. </w:t>
            </w:r>
          </w:p>
        </w:tc>
      </w:tr>
      <w:tr w:rsidR="006518A7" w:rsidRPr="00AD0677" w14:paraId="0D958938" w14:textId="77777777" w:rsidTr="006518A7">
        <w:trPr>
          <w:trHeight w:val="696"/>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0A6BC66B" w14:textId="77777777" w:rsidR="006518A7" w:rsidRPr="00950AB2" w:rsidRDefault="006518A7" w:rsidP="00C64796">
            <w:pPr>
              <w:jc w:val="left"/>
              <w:rPr>
                <w:rFonts w:cs="Arial"/>
                <w:b/>
                <w:color w:val="000000"/>
                <w:sz w:val="18"/>
                <w:szCs w:val="18"/>
                <w:lang w:val="en-GB"/>
              </w:rPr>
            </w:pPr>
            <w:r w:rsidRPr="00950AB2">
              <w:rPr>
                <w:rFonts w:cs="Arial"/>
                <w:b/>
                <w:color w:val="000000"/>
                <w:sz w:val="18"/>
                <w:szCs w:val="18"/>
                <w:lang w:val="en-GB"/>
              </w:rPr>
              <w:t>29.</w:t>
            </w:r>
          </w:p>
        </w:tc>
        <w:tc>
          <w:tcPr>
            <w:tcW w:w="777" w:type="pct"/>
            <w:tcBorders>
              <w:top w:val="nil"/>
              <w:left w:val="nil"/>
              <w:bottom w:val="single" w:sz="4" w:space="0" w:color="auto"/>
              <w:right w:val="single" w:sz="4" w:space="0" w:color="auto"/>
            </w:tcBorders>
            <w:shd w:val="clear" w:color="000000" w:fill="E7E6E6"/>
            <w:vAlign w:val="center"/>
            <w:hideMark/>
          </w:tcPr>
          <w:p w14:paraId="63A7A53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Reputational</w:t>
            </w:r>
          </w:p>
        </w:tc>
        <w:tc>
          <w:tcPr>
            <w:tcW w:w="1223" w:type="pct"/>
            <w:tcBorders>
              <w:top w:val="nil"/>
              <w:left w:val="nil"/>
              <w:bottom w:val="single" w:sz="4" w:space="0" w:color="auto"/>
              <w:right w:val="single" w:sz="4" w:space="0" w:color="auto"/>
            </w:tcBorders>
            <w:shd w:val="clear" w:color="auto" w:fill="auto"/>
            <w:vAlign w:val="center"/>
            <w:hideMark/>
          </w:tcPr>
          <w:p w14:paraId="317A02D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Reputational risk for the Government during the tender and / or through the activities of the Private Partner</w:t>
            </w:r>
          </w:p>
        </w:tc>
        <w:tc>
          <w:tcPr>
            <w:tcW w:w="356" w:type="pct"/>
            <w:tcBorders>
              <w:top w:val="nil"/>
              <w:left w:val="nil"/>
              <w:bottom w:val="single" w:sz="4" w:space="0" w:color="auto"/>
              <w:right w:val="single" w:sz="4" w:space="0" w:color="auto"/>
            </w:tcBorders>
            <w:shd w:val="clear" w:color="auto" w:fill="auto"/>
            <w:vAlign w:val="center"/>
            <w:hideMark/>
          </w:tcPr>
          <w:p w14:paraId="30CCAC35"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100%</w:t>
            </w:r>
          </w:p>
        </w:tc>
        <w:tc>
          <w:tcPr>
            <w:tcW w:w="344" w:type="pct"/>
            <w:tcBorders>
              <w:top w:val="nil"/>
              <w:left w:val="nil"/>
              <w:bottom w:val="single" w:sz="4" w:space="0" w:color="auto"/>
              <w:right w:val="single" w:sz="4" w:space="0" w:color="auto"/>
            </w:tcBorders>
            <w:shd w:val="clear" w:color="auto" w:fill="auto"/>
            <w:vAlign w:val="center"/>
            <w:hideMark/>
          </w:tcPr>
          <w:p w14:paraId="36F73184"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0%</w:t>
            </w:r>
          </w:p>
        </w:tc>
        <w:tc>
          <w:tcPr>
            <w:tcW w:w="418" w:type="pct"/>
            <w:tcBorders>
              <w:top w:val="nil"/>
              <w:left w:val="nil"/>
              <w:bottom w:val="single" w:sz="4" w:space="0" w:color="auto"/>
              <w:right w:val="single" w:sz="4" w:space="0" w:color="auto"/>
            </w:tcBorders>
            <w:shd w:val="clear" w:color="auto" w:fill="auto"/>
            <w:vAlign w:val="center"/>
            <w:hideMark/>
          </w:tcPr>
          <w:p w14:paraId="44335AA3"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hideMark/>
          </w:tcPr>
          <w:p w14:paraId="0128F636"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Moderate</w:t>
            </w:r>
          </w:p>
        </w:tc>
        <w:tc>
          <w:tcPr>
            <w:tcW w:w="668" w:type="pct"/>
            <w:tcBorders>
              <w:top w:val="single" w:sz="4" w:space="0" w:color="auto"/>
              <w:left w:val="nil"/>
              <w:bottom w:val="single" w:sz="4" w:space="0" w:color="auto"/>
              <w:right w:val="single" w:sz="4" w:space="0" w:color="auto"/>
            </w:tcBorders>
          </w:tcPr>
          <w:p w14:paraId="1B7A24A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 xml:space="preserve">Selection of underqualified bidder or inappropriate structure of transaction may result in service level that would not meet the expected levels, thus would limit the realization of project benefits. </w:t>
            </w:r>
          </w:p>
        </w:tc>
        <w:tc>
          <w:tcPr>
            <w:tcW w:w="671" w:type="pct"/>
            <w:tcBorders>
              <w:top w:val="nil"/>
              <w:left w:val="nil"/>
              <w:bottom w:val="single" w:sz="4" w:space="0" w:color="auto"/>
              <w:right w:val="single" w:sz="4" w:space="0" w:color="auto"/>
            </w:tcBorders>
            <w:shd w:val="clear" w:color="auto" w:fill="auto"/>
            <w:vAlign w:val="center"/>
            <w:hideMark/>
          </w:tcPr>
          <w:p w14:paraId="4FC32CAB" w14:textId="77777777" w:rsidR="006518A7" w:rsidRPr="00950AB2" w:rsidRDefault="006518A7" w:rsidP="00C64796">
            <w:pPr>
              <w:rPr>
                <w:rFonts w:cs="Arial"/>
                <w:color w:val="000000"/>
                <w:sz w:val="18"/>
                <w:szCs w:val="18"/>
                <w:lang w:val="en-GB"/>
              </w:rPr>
            </w:pPr>
            <w:r w:rsidRPr="00950AB2">
              <w:rPr>
                <w:rFonts w:cs="Arial"/>
                <w:color w:val="000000"/>
                <w:sz w:val="18"/>
                <w:szCs w:val="18"/>
                <w:lang w:val="en-GB"/>
              </w:rPr>
              <w:t>Independent consulting party engaged to support during the transaction structuring and tender process.</w:t>
            </w:r>
          </w:p>
        </w:tc>
      </w:tr>
      <w:tr w:rsidR="006518A7" w:rsidRPr="00AD0677" w14:paraId="4557836A" w14:textId="77777777" w:rsidTr="006518A7">
        <w:trPr>
          <w:trHeight w:val="492"/>
        </w:trPr>
        <w:tc>
          <w:tcPr>
            <w:tcW w:w="210" w:type="pct"/>
            <w:tcBorders>
              <w:top w:val="nil"/>
              <w:left w:val="single" w:sz="4" w:space="0" w:color="auto"/>
              <w:bottom w:val="single" w:sz="4" w:space="0" w:color="auto"/>
              <w:right w:val="single" w:sz="4" w:space="0" w:color="auto"/>
            </w:tcBorders>
            <w:shd w:val="clear" w:color="000000" w:fill="EDEDED"/>
            <w:vAlign w:val="center"/>
            <w:hideMark/>
          </w:tcPr>
          <w:p w14:paraId="6F9F3D83" w14:textId="77777777" w:rsidR="006518A7" w:rsidRPr="00950AB2" w:rsidRDefault="006518A7" w:rsidP="00C64796">
            <w:pPr>
              <w:rPr>
                <w:rFonts w:cs="Arial"/>
                <w:b/>
                <w:color w:val="000000"/>
                <w:sz w:val="18"/>
                <w:szCs w:val="18"/>
                <w:lang w:val="en-GB"/>
              </w:rPr>
            </w:pPr>
            <w:r w:rsidRPr="00950AB2">
              <w:rPr>
                <w:rFonts w:cs="Arial"/>
                <w:b/>
                <w:color w:val="000000"/>
                <w:sz w:val="18"/>
                <w:szCs w:val="18"/>
                <w:lang w:val="en-GB"/>
              </w:rPr>
              <w:t>30.</w:t>
            </w:r>
            <w:r w:rsidRPr="00AD0677">
              <w:rPr>
                <w:rFonts w:ascii="Times New Roman" w:hAnsi="Times New Roman"/>
                <w:b/>
                <w:bCs/>
                <w:color w:val="000000"/>
                <w:sz w:val="14"/>
                <w:szCs w:val="14"/>
                <w:lang w:val="en-GB"/>
              </w:rPr>
              <w:t xml:space="preserve">   </w:t>
            </w:r>
            <w:r w:rsidRPr="00950AB2">
              <w:rPr>
                <w:rFonts w:cs="Arial"/>
                <w:b/>
                <w:color w:val="000000"/>
                <w:sz w:val="18"/>
                <w:szCs w:val="18"/>
                <w:lang w:val="en-GB"/>
              </w:rPr>
              <w:t> </w:t>
            </w:r>
          </w:p>
        </w:tc>
        <w:tc>
          <w:tcPr>
            <w:tcW w:w="777" w:type="pct"/>
            <w:tcBorders>
              <w:top w:val="nil"/>
              <w:left w:val="nil"/>
              <w:bottom w:val="single" w:sz="4" w:space="0" w:color="auto"/>
              <w:right w:val="single" w:sz="4" w:space="0" w:color="auto"/>
            </w:tcBorders>
            <w:shd w:val="clear" w:color="000000" w:fill="E7E6E6"/>
            <w:vAlign w:val="center"/>
            <w:hideMark/>
          </w:tcPr>
          <w:p w14:paraId="4B07CC5E"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Force Majeure</w:t>
            </w:r>
          </w:p>
        </w:tc>
        <w:tc>
          <w:tcPr>
            <w:tcW w:w="1223" w:type="pct"/>
            <w:tcBorders>
              <w:top w:val="nil"/>
              <w:left w:val="nil"/>
              <w:bottom w:val="single" w:sz="4" w:space="0" w:color="auto"/>
              <w:right w:val="single" w:sz="4" w:space="0" w:color="auto"/>
            </w:tcBorders>
            <w:shd w:val="clear" w:color="auto" w:fill="auto"/>
            <w:vAlign w:val="center"/>
            <w:hideMark/>
          </w:tcPr>
          <w:p w14:paraId="0537FCB5"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Circumstances beyond reasonable control</w:t>
            </w:r>
          </w:p>
        </w:tc>
        <w:tc>
          <w:tcPr>
            <w:tcW w:w="356" w:type="pct"/>
            <w:tcBorders>
              <w:top w:val="nil"/>
              <w:left w:val="nil"/>
              <w:bottom w:val="single" w:sz="4" w:space="0" w:color="auto"/>
              <w:right w:val="single" w:sz="4" w:space="0" w:color="auto"/>
            </w:tcBorders>
            <w:shd w:val="clear" w:color="auto" w:fill="auto"/>
            <w:vAlign w:val="center"/>
            <w:hideMark/>
          </w:tcPr>
          <w:p w14:paraId="4FE654F7"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50%</w:t>
            </w:r>
          </w:p>
        </w:tc>
        <w:tc>
          <w:tcPr>
            <w:tcW w:w="344" w:type="pct"/>
            <w:tcBorders>
              <w:top w:val="nil"/>
              <w:left w:val="nil"/>
              <w:bottom w:val="single" w:sz="4" w:space="0" w:color="auto"/>
              <w:right w:val="single" w:sz="4" w:space="0" w:color="auto"/>
            </w:tcBorders>
            <w:shd w:val="clear" w:color="auto" w:fill="auto"/>
            <w:vAlign w:val="center"/>
            <w:hideMark/>
          </w:tcPr>
          <w:p w14:paraId="52565DD3" w14:textId="77777777" w:rsidR="006518A7" w:rsidRPr="00950AB2" w:rsidRDefault="006518A7" w:rsidP="00C64796">
            <w:pPr>
              <w:jc w:val="right"/>
              <w:rPr>
                <w:rFonts w:cs="Arial"/>
                <w:color w:val="000000"/>
                <w:sz w:val="18"/>
                <w:szCs w:val="18"/>
                <w:lang w:val="en-GB"/>
              </w:rPr>
            </w:pPr>
            <w:r w:rsidRPr="00950AB2">
              <w:rPr>
                <w:rFonts w:cs="Arial"/>
                <w:color w:val="000000"/>
                <w:sz w:val="18"/>
                <w:szCs w:val="18"/>
                <w:lang w:val="en-GB"/>
              </w:rPr>
              <w:t>50%</w:t>
            </w:r>
          </w:p>
        </w:tc>
        <w:tc>
          <w:tcPr>
            <w:tcW w:w="418" w:type="pct"/>
            <w:tcBorders>
              <w:top w:val="nil"/>
              <w:left w:val="nil"/>
              <w:bottom w:val="single" w:sz="4" w:space="0" w:color="auto"/>
              <w:right w:val="single" w:sz="4" w:space="0" w:color="auto"/>
            </w:tcBorders>
            <w:shd w:val="clear" w:color="auto" w:fill="auto"/>
            <w:vAlign w:val="center"/>
            <w:hideMark/>
          </w:tcPr>
          <w:p w14:paraId="565A362D"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0%-15%</w:t>
            </w:r>
          </w:p>
        </w:tc>
        <w:tc>
          <w:tcPr>
            <w:tcW w:w="333" w:type="pct"/>
            <w:tcBorders>
              <w:top w:val="nil"/>
              <w:left w:val="nil"/>
              <w:bottom w:val="single" w:sz="4" w:space="0" w:color="auto"/>
              <w:right w:val="single" w:sz="4" w:space="0" w:color="auto"/>
            </w:tcBorders>
            <w:shd w:val="clear" w:color="auto" w:fill="auto"/>
            <w:vAlign w:val="center"/>
            <w:hideMark/>
          </w:tcPr>
          <w:p w14:paraId="5DDD43F9"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High</w:t>
            </w:r>
          </w:p>
        </w:tc>
        <w:tc>
          <w:tcPr>
            <w:tcW w:w="668" w:type="pct"/>
            <w:tcBorders>
              <w:top w:val="single" w:sz="4" w:space="0" w:color="auto"/>
              <w:left w:val="nil"/>
              <w:bottom w:val="single" w:sz="4" w:space="0" w:color="auto"/>
              <w:right w:val="single" w:sz="4" w:space="0" w:color="auto"/>
            </w:tcBorders>
          </w:tcPr>
          <w:p w14:paraId="0C858951" w14:textId="77777777" w:rsidR="006518A7" w:rsidRPr="00950AB2" w:rsidRDefault="006518A7" w:rsidP="00C64796">
            <w:pPr>
              <w:jc w:val="left"/>
              <w:rPr>
                <w:rFonts w:cs="Arial"/>
                <w:color w:val="000000"/>
                <w:sz w:val="18"/>
                <w:szCs w:val="18"/>
                <w:lang w:val="en-GB"/>
              </w:rPr>
            </w:pPr>
            <w:r w:rsidRPr="00950AB2">
              <w:rPr>
                <w:rFonts w:cs="Arial"/>
                <w:color w:val="000000"/>
                <w:sz w:val="18"/>
                <w:szCs w:val="18"/>
                <w:lang w:val="en-GB"/>
              </w:rPr>
              <w:t>Extent of impact may differ depending on specific Force Majeure situation.</w:t>
            </w:r>
          </w:p>
        </w:tc>
        <w:tc>
          <w:tcPr>
            <w:tcW w:w="671" w:type="pct"/>
            <w:tcBorders>
              <w:top w:val="nil"/>
              <w:left w:val="nil"/>
              <w:bottom w:val="single" w:sz="4" w:space="0" w:color="auto"/>
              <w:right w:val="single" w:sz="4" w:space="0" w:color="auto"/>
            </w:tcBorders>
            <w:shd w:val="clear" w:color="auto" w:fill="auto"/>
            <w:vAlign w:val="center"/>
            <w:hideMark/>
          </w:tcPr>
          <w:p w14:paraId="463E6FD9" w14:textId="77777777" w:rsidR="006518A7" w:rsidRPr="00950AB2" w:rsidRDefault="006518A7" w:rsidP="00C64796">
            <w:pPr>
              <w:rPr>
                <w:rFonts w:cs="Arial"/>
                <w:color w:val="000000"/>
                <w:sz w:val="18"/>
                <w:szCs w:val="18"/>
                <w:lang w:val="uk-UA"/>
              </w:rPr>
            </w:pPr>
            <w:r w:rsidRPr="00950AB2">
              <w:rPr>
                <w:rFonts w:cs="Arial"/>
                <w:color w:val="000000"/>
                <w:sz w:val="18"/>
                <w:szCs w:val="18"/>
                <w:lang w:val="en-GB"/>
              </w:rPr>
              <w:t>Such risks cannot be foreseen, although can be mitigated by</w:t>
            </w:r>
            <w:r w:rsidRPr="00950AB2">
              <w:rPr>
                <w:rFonts w:cs="Arial"/>
                <w:color w:val="000000"/>
                <w:sz w:val="18"/>
                <w:szCs w:val="18"/>
                <w:lang w:val="uk-UA"/>
              </w:rPr>
              <w:t>:</w:t>
            </w:r>
          </w:p>
          <w:p w14:paraId="6455A7C7" w14:textId="77777777" w:rsidR="006518A7" w:rsidRPr="00950AB2" w:rsidRDefault="006518A7" w:rsidP="006518A7">
            <w:pPr>
              <w:pStyle w:val="ListParagraph"/>
              <w:numPr>
                <w:ilvl w:val="0"/>
                <w:numId w:val="1"/>
              </w:numPr>
              <w:ind w:left="166" w:hanging="166"/>
              <w:rPr>
                <w:rFonts w:cs="Arial"/>
                <w:color w:val="000000"/>
                <w:sz w:val="18"/>
                <w:szCs w:val="18"/>
                <w:lang w:val="en-GB"/>
              </w:rPr>
            </w:pPr>
            <w:r w:rsidRPr="00950AB2">
              <w:rPr>
                <w:rFonts w:cs="Arial"/>
                <w:color w:val="000000"/>
                <w:sz w:val="18"/>
                <w:szCs w:val="18"/>
                <w:lang w:val="en-GB"/>
              </w:rPr>
              <w:t>preparing crisis management plans</w:t>
            </w:r>
          </w:p>
          <w:p w14:paraId="4512763A" w14:textId="77777777" w:rsidR="006518A7" w:rsidRPr="00950AB2" w:rsidRDefault="006518A7" w:rsidP="006518A7">
            <w:pPr>
              <w:pStyle w:val="ListParagraph"/>
              <w:numPr>
                <w:ilvl w:val="0"/>
                <w:numId w:val="1"/>
              </w:numPr>
              <w:ind w:left="166" w:hanging="166"/>
              <w:rPr>
                <w:rFonts w:cs="Arial"/>
                <w:color w:val="000000"/>
                <w:sz w:val="18"/>
                <w:szCs w:val="18"/>
                <w:lang w:val="en-GB"/>
              </w:rPr>
            </w:pPr>
            <w:r w:rsidRPr="00950AB2">
              <w:rPr>
                <w:rFonts w:cs="Arial"/>
                <w:color w:val="000000"/>
                <w:sz w:val="18"/>
                <w:szCs w:val="18"/>
                <w:lang w:val="en-GB"/>
              </w:rPr>
              <w:t>insurance</w:t>
            </w:r>
          </w:p>
          <w:p w14:paraId="704E6F5A" w14:textId="77777777" w:rsidR="006518A7" w:rsidRPr="00950AB2" w:rsidRDefault="006518A7" w:rsidP="006518A7">
            <w:pPr>
              <w:pStyle w:val="ListParagraph"/>
              <w:numPr>
                <w:ilvl w:val="0"/>
                <w:numId w:val="1"/>
              </w:numPr>
              <w:ind w:left="166" w:hanging="166"/>
              <w:rPr>
                <w:rFonts w:cs="Arial"/>
                <w:color w:val="000000"/>
                <w:sz w:val="18"/>
                <w:szCs w:val="18"/>
                <w:lang w:val="en-GB"/>
              </w:rPr>
            </w:pPr>
            <w:r w:rsidRPr="00950AB2">
              <w:rPr>
                <w:rFonts w:cs="Arial"/>
                <w:color w:val="000000"/>
                <w:sz w:val="18"/>
                <w:szCs w:val="18"/>
                <w:lang w:val="en-GB"/>
              </w:rPr>
              <w:t xml:space="preserve">adequate force majeure clauses in the contract, </w:t>
            </w:r>
          </w:p>
          <w:p w14:paraId="0C12B933" w14:textId="77777777" w:rsidR="006518A7" w:rsidRPr="00950AB2" w:rsidRDefault="006518A7" w:rsidP="006518A7">
            <w:pPr>
              <w:pStyle w:val="ListParagraph"/>
              <w:numPr>
                <w:ilvl w:val="0"/>
                <w:numId w:val="1"/>
              </w:numPr>
              <w:ind w:left="166" w:hanging="166"/>
              <w:rPr>
                <w:rFonts w:cs="Arial"/>
                <w:color w:val="000000"/>
                <w:sz w:val="18"/>
                <w:szCs w:val="18"/>
                <w:lang w:val="en-GB"/>
              </w:rPr>
            </w:pPr>
            <w:r w:rsidRPr="00950AB2">
              <w:rPr>
                <w:rFonts w:cs="Arial"/>
                <w:color w:val="000000"/>
                <w:sz w:val="18"/>
                <w:szCs w:val="18"/>
                <w:lang w:val="en-GB"/>
              </w:rPr>
              <w:t xml:space="preserve">adequate insurance and business </w:t>
            </w:r>
            <w:r w:rsidRPr="00950AB2">
              <w:rPr>
                <w:rFonts w:cs="Arial"/>
                <w:color w:val="000000"/>
                <w:sz w:val="18"/>
                <w:szCs w:val="18"/>
                <w:lang w:val="en-GB"/>
              </w:rPr>
              <w:lastRenderedPageBreak/>
              <w:t>continuity planning/disaster recovery planning by the private partner</w:t>
            </w:r>
          </w:p>
        </w:tc>
      </w:tr>
    </w:tbl>
    <w:p w14:paraId="69332589" w14:textId="77777777" w:rsidR="00ED017A" w:rsidRDefault="00ED017A"/>
    <w:sectPr w:rsidR="00ED017A" w:rsidSect="006518A7">
      <w:pgSz w:w="16838" w:h="11906" w:orient="landscape"/>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66384"/>
    <w:multiLevelType w:val="multilevel"/>
    <w:tmpl w:val="24C0507A"/>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A7"/>
    <w:rsid w:val="006518A7"/>
    <w:rsid w:val="00ED01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8098"/>
  <w15:chartTrackingRefBased/>
  <w15:docId w15:val="{24FB031F-C2EF-40A8-B0B8-B3062B86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A7"/>
    <w:pPr>
      <w:spacing w:after="0" w:line="240" w:lineRule="auto"/>
      <w:jc w:val="both"/>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2,Report Para,Number Bullets,Resume Title,heading 4,Citation List,WinDForce-Letter,Heading 2_sj,En tête 1,Indent Paragraph,Annexlist,Ha,ANNEX,List Paragraph2,Paragraph,Graphic,Bullets1,Colorful List - Accent 11,Normal bullet 2,lp1"/>
    <w:basedOn w:val="Normal"/>
    <w:link w:val="ListParagraphChar"/>
    <w:uiPriority w:val="34"/>
    <w:qFormat/>
    <w:rsid w:val="006518A7"/>
    <w:pPr>
      <w:ind w:left="720"/>
      <w:contextualSpacing/>
    </w:pPr>
  </w:style>
  <w:style w:type="character" w:styleId="CommentReference">
    <w:name w:val="annotation reference"/>
    <w:basedOn w:val="DefaultParagraphFont"/>
    <w:uiPriority w:val="99"/>
    <w:unhideWhenUsed/>
    <w:rsid w:val="006518A7"/>
    <w:rPr>
      <w:sz w:val="16"/>
      <w:szCs w:val="16"/>
    </w:rPr>
  </w:style>
  <w:style w:type="paragraph" w:styleId="CommentText">
    <w:name w:val="annotation text"/>
    <w:basedOn w:val="Normal"/>
    <w:link w:val="CommentTextChar"/>
    <w:uiPriority w:val="99"/>
    <w:unhideWhenUsed/>
    <w:rsid w:val="006518A7"/>
    <w:pPr>
      <w:tabs>
        <w:tab w:val="num" w:pos="1440"/>
      </w:tabs>
      <w:ind w:left="1440" w:hanging="720"/>
    </w:pPr>
    <w:rPr>
      <w:sz w:val="20"/>
      <w:szCs w:val="20"/>
    </w:rPr>
  </w:style>
  <w:style w:type="character" w:customStyle="1" w:styleId="CommentTextChar">
    <w:name w:val="Comment Text Char"/>
    <w:basedOn w:val="DefaultParagraphFont"/>
    <w:link w:val="CommentText"/>
    <w:uiPriority w:val="99"/>
    <w:rsid w:val="006518A7"/>
    <w:rPr>
      <w:rFonts w:ascii="Arial" w:eastAsia="Times New Roman" w:hAnsi="Arial" w:cs="Times New Roman"/>
      <w:sz w:val="20"/>
      <w:szCs w:val="20"/>
      <w:lang w:val="en-US"/>
    </w:rPr>
  </w:style>
  <w:style w:type="character" w:customStyle="1" w:styleId="ListParagraphChar">
    <w:name w:val="List Paragraph Char"/>
    <w:aliases w:val="Titulo 2 Char,Report Para Char,Number Bullets Char,Resume Title Char,heading 4 Char,Citation List Char,WinDForce-Letter Char,Heading 2_sj Char,En tête 1 Char,Indent Paragraph Char,Annexlist Char,Ha Char,ANNEX Char,Paragraph Char"/>
    <w:link w:val="ListParagraph"/>
    <w:uiPriority w:val="34"/>
    <w:qFormat/>
    <w:rsid w:val="006518A7"/>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34002</vt:lpwstr>
  </property>
  <property fmtid="{D5CDD505-2E9C-101B-9397-08002B2CF9AE}" pid="4" name="OptimizationTime">
    <vt:lpwstr>20230314_0923</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16</Pages>
  <Words>15929</Words>
  <Characters>9081</Characters>
  <Application>Microsoft Office Word</Application>
  <DocSecurity>0</DocSecurity>
  <Lines>75</Lines>
  <Paragraphs>49</Paragraphs>
  <ScaleCrop>false</ScaleCrop>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Goda Barilaite</dc:creator>
  <cp:keywords/>
  <dc:description/>
  <cp:lastModifiedBy>Goda Barilaite</cp:lastModifiedBy>
  <cp:revision>1</cp:revision>
  <dcterms:created xsi:type="dcterms:W3CDTF">2023-03-07T13:46:00Z</dcterms:created>
  <dcterms:modified xsi:type="dcterms:W3CDTF">2023-03-07T13:51:00Z</dcterms:modified>
</cp:coreProperties>
</file>