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7A" w:rsidRPr="00686F90" w:rsidRDefault="0041037A" w:rsidP="00686F90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86F90">
        <w:rPr>
          <w:rFonts w:ascii="GHEA Grapalat" w:hAnsi="GHEA Grapalat"/>
          <w:b/>
          <w:sz w:val="24"/>
          <w:szCs w:val="24"/>
          <w:lang w:val="hy-AM"/>
        </w:rPr>
        <w:t>Աղյուսակ 1</w:t>
      </w:r>
    </w:p>
    <w:p w:rsidR="0041037A" w:rsidRPr="00686F90" w:rsidRDefault="0041037A" w:rsidP="00686F9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F90">
        <w:rPr>
          <w:rFonts w:ascii="GHEA Grapalat" w:hAnsi="GHEA Grapalat"/>
          <w:b/>
          <w:sz w:val="24"/>
          <w:szCs w:val="24"/>
          <w:lang w:val="hy-AM"/>
        </w:rPr>
        <w:t>Միաշերտ կամ երկշերտ պոլիէթիլենային թաղանթով հողային հարստացված զանգվածով</w:t>
      </w:r>
      <w:r w:rsidRPr="00686F90">
        <w:rPr>
          <w:rFonts w:ascii="GHEA Grapalat" w:hAnsi="GHEA Grapalat"/>
          <w:bCs/>
          <w:sz w:val="18"/>
          <w:szCs w:val="24"/>
          <w:lang w:val="hy-AM"/>
        </w:rPr>
        <w:t xml:space="preserve"> </w:t>
      </w:r>
      <w:r w:rsidRPr="00686F90">
        <w:rPr>
          <w:rFonts w:ascii="GHEA Grapalat" w:hAnsi="GHEA Grapalat"/>
          <w:b/>
          <w:sz w:val="24"/>
          <w:szCs w:val="24"/>
          <w:lang w:val="hy-AM"/>
        </w:rPr>
        <w:t>թունելային ջերմատան հիմնական չափորոշիչները</w:t>
      </w:r>
    </w:p>
    <w:tbl>
      <w:tblPr>
        <w:tblW w:w="10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6"/>
        <w:gridCol w:w="9456"/>
      </w:tblGrid>
      <w:tr w:rsidR="00686F90" w:rsidRPr="00686F90" w:rsidTr="00686F90">
        <w:trPr>
          <w:cantSplit/>
          <w:trHeight w:val="325"/>
        </w:trPr>
        <w:tc>
          <w:tcPr>
            <w:tcW w:w="113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1.1</w:t>
            </w:r>
          </w:p>
        </w:tc>
        <w:tc>
          <w:tcPr>
            <w:tcW w:w="945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Կոնստրուկցիա </w:t>
            </w:r>
          </w:p>
        </w:tc>
      </w:tr>
      <w:tr w:rsidR="00686F90" w:rsidRPr="00B36811" w:rsidTr="00686F90">
        <w:trPr>
          <w:cantSplit/>
          <w:trHeight w:val="18"/>
        </w:trPr>
        <w:tc>
          <w:tcPr>
            <w:tcW w:w="1136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1.1.1</w:t>
            </w:r>
          </w:p>
        </w:tc>
        <w:tc>
          <w:tcPr>
            <w:tcW w:w="9456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suppressAutoHyphens/>
              <w:spacing w:before="60" w:after="60"/>
              <w:ind w:right="193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Ջերմ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ատան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 չափեր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 w:firstLine="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Նվազագույն գագաթնային բարձրություն՝ առնվազն 3.5 մ։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 w:firstLine="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Ջերմատան լայնություն՝ մինչև 12 մ։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 w:firstLine="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Ջերմատան երկարություն՝ առավելագույնը 50 մ։</w:t>
            </w:r>
          </w:p>
        </w:tc>
      </w:tr>
      <w:tr w:rsidR="00686F90" w:rsidRPr="00686F90" w:rsidTr="00686F90">
        <w:trPr>
          <w:cantSplit/>
          <w:trHeight w:val="1346"/>
        </w:trPr>
        <w:tc>
          <w:tcPr>
            <w:tcW w:w="1136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1.1.2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eastAsia="Calibri" w:hAnsi="GHEA Grapalat"/>
                <w:b/>
                <w:sz w:val="22"/>
                <w:szCs w:val="22"/>
              </w:rPr>
            </w:pPr>
            <w:r w:rsidRPr="00686F9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Դիմադրողականություն և ծանրաբեռնվածություն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 w:firstLine="0"/>
              <w:rPr>
                <w:rFonts w:ascii="GHEA Grapalat" w:eastAsia="Calibri" w:hAnsi="GHEA Grapalat"/>
                <w:sz w:val="22"/>
                <w:szCs w:val="22"/>
              </w:rPr>
            </w:pP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Քամու դեմ՝ առնվազն 80</w:t>
            </w:r>
            <w:r w:rsidRPr="00686F9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կմ</w:t>
            </w:r>
            <w:r w:rsidRPr="00686F90">
              <w:rPr>
                <w:rFonts w:ascii="GHEA Grapalat" w:eastAsia="Calibri" w:hAnsi="GHEA Grapalat"/>
                <w:sz w:val="22"/>
                <w:szCs w:val="22"/>
              </w:rPr>
              <w:t>/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ժ։</w:t>
            </w:r>
            <w:r w:rsidRPr="00686F9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 w:firstLine="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Ձյան բեռնվածություն՝ առնվազն 25 կգ/մ</w:t>
            </w:r>
            <w:r w:rsidRPr="00686F90">
              <w:rPr>
                <w:rFonts w:ascii="GHEA Grapalat" w:eastAsia="Calibri" w:hAnsi="GHEA Grapalat"/>
                <w:sz w:val="22"/>
                <w:szCs w:val="22"/>
                <w:vertAlign w:val="superscript"/>
                <w:lang w:val="hy-AM"/>
              </w:rPr>
              <w:t>2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։</w:t>
            </w:r>
          </w:p>
        </w:tc>
      </w:tr>
      <w:tr w:rsidR="00686F90" w:rsidRPr="00B36811" w:rsidTr="00686F90">
        <w:trPr>
          <w:cantSplit/>
          <w:trHeight w:val="18"/>
        </w:trPr>
        <w:tc>
          <w:tcPr>
            <w:tcW w:w="1136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1.1.3</w:t>
            </w: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Կոնստրուկցիա</w:t>
            </w:r>
          </w:p>
          <w:p w:rsidR="00686F90" w:rsidRPr="00686F90" w:rsidRDefault="00686F90" w:rsidP="00686F90">
            <w:pPr>
              <w:tabs>
                <w:tab w:val="left" w:pos="990"/>
                <w:tab w:val="left" w:pos="12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Մետաղական կոնստրուկցիան և այլ ամրակցող նյութերը պետք է լինեն չժանգոտվող մետաղից՝ ցինկապատ՝ տաք մեթոդով, առնվազն AZ-275 ստանդարտ</w:t>
            </w:r>
            <w:r w:rsidRPr="00686F90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>ի կամ այլ չժանգոտվող նյութից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ընդ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որում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չի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թույլատրվում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ժանգոտվող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մետաղի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պատումը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չժանգոտվող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նյութով</w:t>
            </w:r>
            <w:r w:rsidRPr="00686F90">
              <w:rPr>
                <w:rFonts w:ascii="GHEA Grapalat" w:hAnsi="GHEA Grapalat" w:cs="GHEA Grapalat"/>
                <w:sz w:val="22"/>
                <w:szCs w:val="22"/>
                <w:lang w:val="hy-AM" w:eastAsia="en-GB"/>
              </w:rPr>
              <w:t>։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Կոնստրուկցիան կրող խողովակները պետք է ունենան այնպիսի հաստություն, որը թույլ կտա ունենալ անհրաժեշտ դիմադրողականության և ծանրաբեռնվածության աստիճան, ըստ նշված պահանջների: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Ջերմատան կառուցման համար անհրաժեշտ կրող կոնստրուկցիաները պետք է լինեն մեկ արտադրողի արտադրության:</w:t>
            </w:r>
          </w:p>
          <w:p w:rsidR="00686F90" w:rsidRPr="00686F90" w:rsidRDefault="00686F90" w:rsidP="00686F90">
            <w:pPr>
              <w:tabs>
                <w:tab w:val="left" w:pos="990"/>
                <w:tab w:val="left" w:pos="12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Ջերմատան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կողային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հատվածներում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պատուհանների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առկայության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դեպքում՝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գետնից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կողային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պատուհանները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ճակատային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հատվածներում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պոլիէթիլենային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թաղանթի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փոխարեն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կարելի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օգտագործել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արտադրողի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հավաստագրված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բազմամյա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առնվազն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5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տարի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պոլիկարբոնատ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 xml:space="preserve">Դռներ </w:t>
            </w:r>
          </w:p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Առնվազն 90 սմ լայնքով` չժանգոտվող նյութից։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 w:eastAsia="en-GB"/>
              </w:rPr>
              <w:t xml:space="preserve"> </w:t>
            </w:r>
          </w:p>
        </w:tc>
      </w:tr>
      <w:tr w:rsidR="00686F90" w:rsidRPr="00686F90" w:rsidTr="00686F90">
        <w:trPr>
          <w:cantSplit/>
          <w:trHeight w:val="1177"/>
        </w:trPr>
        <w:tc>
          <w:tcPr>
            <w:tcW w:w="1136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1.1.4</w:t>
            </w: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en-GB" w:eastAsia="en-GB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Օդափոխություն</w:t>
            </w: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:rsidR="00686F90" w:rsidRPr="00686F90" w:rsidRDefault="00686F90" w:rsidP="00686F90">
            <w:pPr>
              <w:tabs>
                <w:tab w:val="left" w:pos="2021"/>
              </w:tabs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eastAsia="en-GB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Օդափոխությունը պետք է իրականացվի 2 կողային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en-GB" w:eastAsia="en-GB"/>
              </w:rPr>
              <w:t xml:space="preserve">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ru-RU" w:eastAsia="en-GB"/>
              </w:rPr>
              <w:t>կամ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en-GB" w:eastAsia="en-GB"/>
              </w:rPr>
              <w:t xml:space="preserve"> </w:t>
            </w:r>
            <w:r w:rsidRPr="00686F90">
              <w:rPr>
                <w:rFonts w:ascii="GHEA Grapalat" w:hAnsi="GHEA Grapalat" w:cs="Calibri"/>
                <w:sz w:val="22"/>
                <w:szCs w:val="22"/>
                <w:lang w:eastAsia="en-GB"/>
              </w:rPr>
              <w:t>ճ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ru-RU" w:eastAsia="en-GB"/>
              </w:rPr>
              <w:t>ակատային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</w:t>
            </w:r>
            <w:proofErr w:type="spellStart"/>
            <w:r w:rsidRPr="00686F90">
              <w:rPr>
                <w:rFonts w:ascii="GHEA Grapalat" w:hAnsi="GHEA Grapalat" w:cs="Calibri"/>
                <w:sz w:val="22"/>
                <w:szCs w:val="22"/>
                <w:lang w:eastAsia="en-GB"/>
              </w:rPr>
              <w:t>կամ</w:t>
            </w:r>
            <w:proofErr w:type="spellEnd"/>
            <w:r w:rsidRPr="00686F90">
              <w:rPr>
                <w:rFonts w:ascii="GHEA Grapalat" w:hAnsi="GHEA Grapalat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686F90">
              <w:rPr>
                <w:rFonts w:ascii="GHEA Grapalat" w:hAnsi="GHEA Grapalat" w:cs="Calibri"/>
                <w:sz w:val="22"/>
                <w:szCs w:val="22"/>
                <w:lang w:eastAsia="en-GB"/>
              </w:rPr>
              <w:t>տանիքի</w:t>
            </w:r>
            <w:proofErr w:type="spellEnd"/>
            <w:r w:rsidRPr="00686F90">
              <w:rPr>
                <w:rFonts w:ascii="GHEA Grapalat" w:hAnsi="GHEA Grapalat" w:cs="Calibri"/>
                <w:sz w:val="22"/>
                <w:szCs w:val="22"/>
                <w:lang w:eastAsia="en-GB"/>
              </w:rPr>
              <w:t xml:space="preserve">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հատվածներում՝ բացվածքի և օդափոխիչների միջոցով: </w:t>
            </w:r>
          </w:p>
        </w:tc>
      </w:tr>
      <w:tr w:rsidR="00686F90" w:rsidRPr="00686F90" w:rsidTr="00686F90">
        <w:trPr>
          <w:cantSplit/>
          <w:trHeight w:val="730"/>
        </w:trPr>
        <w:tc>
          <w:tcPr>
            <w:tcW w:w="1136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1.1.5</w:t>
            </w: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en-GB" w:eastAsia="en-GB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Պտուտակներ, մալուխներ և ամրակցող դետալներ</w:t>
            </w:r>
          </w:p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en-GB" w:eastAsia="en-GB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Պետք է լինեն բարձրորակ ցինկապատ մետաղից կամ այլ չժանգոտվող մետաղից։</w:t>
            </w:r>
          </w:p>
        </w:tc>
      </w:tr>
      <w:tr w:rsidR="00686F90" w:rsidRPr="00686F90" w:rsidTr="00686F90">
        <w:trPr>
          <w:cantSplit/>
          <w:trHeight w:val="1023"/>
        </w:trPr>
        <w:tc>
          <w:tcPr>
            <w:tcW w:w="113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1.2</w:t>
            </w:r>
          </w:p>
        </w:tc>
        <w:tc>
          <w:tcPr>
            <w:tcW w:w="945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suppressAutoHyphens/>
              <w:ind w:right="193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Թաղանթներ և ցանցեր</w:t>
            </w:r>
          </w:p>
        </w:tc>
      </w:tr>
      <w:tr w:rsidR="00686F90" w:rsidRPr="00B36811" w:rsidTr="00686F90">
        <w:trPr>
          <w:cantSplit/>
          <w:trHeight w:val="102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1.2.1</w:t>
            </w: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Մեկ շերտ թաղանթապատման դեպքում թաղանթին ներկայացվող պահանջներ՝</w:t>
            </w:r>
          </w:p>
          <w:p w:rsidR="00686F90" w:rsidRPr="00686F90" w:rsidRDefault="00686F90" w:rsidP="00686F90">
            <w:pPr>
              <w:numPr>
                <w:ilvl w:val="0"/>
                <w:numId w:val="1"/>
              </w:numPr>
              <w:ind w:left="708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հավելանյութեր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IR (թերմիկ, ջերմախնայող), AD (հակակաթոցային), UV (ուլտրամանուշակագույն ճառագայթման դեմ դիմադրողականություն),</w:t>
            </w:r>
            <w:r w:rsidRPr="00686F90">
              <w:rPr>
                <w:rFonts w:ascii="GHEA Grapalat" w:hAnsi="GHEA Grapalat" w:cs="Calibri"/>
                <w:i/>
                <w:sz w:val="22"/>
                <w:szCs w:val="22"/>
                <w:lang w:val="hy-AM"/>
              </w:rPr>
              <w:t xml:space="preserve"> </w:t>
            </w:r>
          </w:p>
          <w:p w:rsidR="00686F90" w:rsidRPr="00686F90" w:rsidRDefault="00686F90" w:rsidP="00686F90">
            <w:pPr>
              <w:numPr>
                <w:ilvl w:val="0"/>
                <w:numId w:val="1"/>
              </w:numPr>
              <w:ind w:left="708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թաղանթի նյութ՝ պոլիէթիլեն, հաստությունը առնվազն 140 միկրոն,</w:t>
            </w:r>
          </w:p>
          <w:p w:rsidR="00686F90" w:rsidRPr="00686F90" w:rsidRDefault="00686F90" w:rsidP="00686F90">
            <w:pPr>
              <w:numPr>
                <w:ilvl w:val="0"/>
                <w:numId w:val="1"/>
              </w:numPr>
              <w:suppressAutoHyphens/>
              <w:ind w:left="708" w:right="193"/>
              <w:contextualSpacing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հավելանյութերի գործման գործարանային երաշխիք՝ առնվազն 2 սեզոն (20 ամիս)։</w:t>
            </w:r>
          </w:p>
        </w:tc>
      </w:tr>
      <w:tr w:rsidR="00686F90" w:rsidRPr="00B36811" w:rsidTr="00686F90">
        <w:trPr>
          <w:cantSplit/>
          <w:trHeight w:val="102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Երկշերտ թաղանթապատման դեպքում` </w:t>
            </w:r>
          </w:p>
          <w:p w:rsidR="00686F90" w:rsidRPr="00686F90" w:rsidRDefault="00686F90" w:rsidP="00686F90">
            <w:pPr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Վերին շերտ</w:t>
            </w:r>
          </w:p>
          <w:p w:rsidR="00686F90" w:rsidRPr="00686F90" w:rsidRDefault="00686F90" w:rsidP="00686F90">
            <w:pPr>
              <w:numPr>
                <w:ilvl w:val="0"/>
                <w:numId w:val="8"/>
              </w:numPr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հավելանյութեր՝ UV (ուլտրամանուշակագույն ճառագայթման դեմ դիմադրողականություն), </w:t>
            </w:r>
          </w:p>
          <w:p w:rsidR="00686F90" w:rsidRPr="00686F90" w:rsidRDefault="00686F90" w:rsidP="00686F90">
            <w:pPr>
              <w:numPr>
                <w:ilvl w:val="0"/>
                <w:numId w:val="8"/>
              </w:numPr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թաղանթի նյութ՝ պոլիէթիլեն, հաստությունը առնվազն 140 միկրոն,</w:t>
            </w:r>
          </w:p>
          <w:p w:rsidR="00686F90" w:rsidRPr="00686F90" w:rsidRDefault="00686F90" w:rsidP="00686F90">
            <w:pPr>
              <w:numPr>
                <w:ilvl w:val="0"/>
                <w:numId w:val="8"/>
              </w:numPr>
              <w:suppressAutoHyphens/>
              <w:ind w:right="193"/>
              <w:contextualSpacing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հավելանյութերի գործման գործարանային երաշխիք՝ առնվազն 2 սեզոն ( 20 ամիս)։</w:t>
            </w:r>
          </w:p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Ստորին շերտ</w:t>
            </w:r>
          </w:p>
          <w:p w:rsidR="00686F90" w:rsidRPr="00686F90" w:rsidRDefault="00686F90" w:rsidP="00686F90">
            <w:pPr>
              <w:numPr>
                <w:ilvl w:val="0"/>
                <w:numId w:val="2"/>
              </w:numPr>
              <w:suppressAutoHyphens/>
              <w:ind w:right="193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 հ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ավելանյութեր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՝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IR (թերմիկ, ջերմախնայող), AD (հակակաթոցային), UV (ուլտրամանուշակագույն ճառագայթման դեմ դիմադրողականություն),</w:t>
            </w:r>
          </w:p>
          <w:p w:rsidR="00686F90" w:rsidRPr="00686F90" w:rsidRDefault="00686F90" w:rsidP="00686F90">
            <w:pPr>
              <w:numPr>
                <w:ilvl w:val="0"/>
                <w:numId w:val="2"/>
              </w:numPr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թաղանթի նյութ՝ պոլիէթիլեն, հաստությունը առնվազն 100 միկրոն,</w:t>
            </w:r>
          </w:p>
          <w:p w:rsidR="00686F90" w:rsidRPr="00686F90" w:rsidRDefault="00686F90" w:rsidP="00686F90">
            <w:pPr>
              <w:numPr>
                <w:ilvl w:val="0"/>
                <w:numId w:val="2"/>
              </w:numPr>
              <w:suppressAutoHyphens/>
              <w:ind w:right="193"/>
              <w:contextualSpacing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հավելանյութերի գործման գործարանային երաշխիք՝ առնվազն 2 սեզոն (20 ամիս)։</w:t>
            </w:r>
          </w:p>
        </w:tc>
      </w:tr>
      <w:tr w:rsidR="00686F90" w:rsidRPr="00686F90" w:rsidTr="00686F90">
        <w:trPr>
          <w:cantSplit/>
          <w:trHeight w:val="102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1.2.3</w:t>
            </w: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Միջատապաշտպան ցանց</w:t>
            </w: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 xml:space="preserve"> ( 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ոչ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պարտադիր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պայման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)</w:t>
            </w:r>
          </w:p>
          <w:p w:rsidR="00686F90" w:rsidRPr="00686F90" w:rsidRDefault="00686F90" w:rsidP="00686F90">
            <w:pPr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Ուլտրամանուշակագույն ճառագայթման դեմ դիմադրողականություն՝ առնվազն 4 տարի, անցքերի մեծություն՝ 50 մեշ </w:t>
            </w:r>
            <w:r w:rsidRPr="00686F90">
              <w:rPr>
                <w:rFonts w:ascii="GHEA Grapalat" w:hAnsi="GHEA Grapalat" w:cs="Calibri"/>
                <w:sz w:val="22"/>
                <w:szCs w:val="22"/>
              </w:rPr>
              <w:t>(Mesh)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։</w:t>
            </w:r>
          </w:p>
        </w:tc>
      </w:tr>
      <w:tr w:rsidR="00686F90" w:rsidRPr="00686F90" w:rsidTr="00686F90">
        <w:trPr>
          <w:cantSplit/>
          <w:trHeight w:val="463"/>
        </w:trPr>
        <w:tc>
          <w:tcPr>
            <w:tcW w:w="113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1.3</w:t>
            </w:r>
          </w:p>
        </w:tc>
        <w:tc>
          <w:tcPr>
            <w:tcW w:w="945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suppressAutoHyphens/>
              <w:ind w:right="193"/>
              <w:jc w:val="center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Ոռոգման կաթիլային համակարգ</w:t>
            </w:r>
          </w:p>
        </w:tc>
      </w:tr>
      <w:tr w:rsidR="00686F90" w:rsidRPr="00686F90" w:rsidTr="00686F90">
        <w:trPr>
          <w:cantSplit/>
          <w:trHeight w:val="102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Ոռոգման կաթիլային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ru-RU"/>
              </w:rPr>
              <w:t>համակարգը</w:t>
            </w:r>
            <w:r w:rsidRPr="00686F90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ru-RU"/>
              </w:rPr>
              <w:t>պետք</w:t>
            </w:r>
            <w:r w:rsidRPr="00686F90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ru-RU"/>
              </w:rPr>
              <w:t>է</w:t>
            </w:r>
            <w:r w:rsidRPr="00686F90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ru-RU"/>
              </w:rPr>
              <w:t>ունենա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պարարտանյութի խառնման և արդյունավետ բաշխման հնարավորություն</w:t>
            </w:r>
            <w:r w:rsidRPr="00686F90">
              <w:rPr>
                <w:rFonts w:ascii="GHEA Grapalat" w:hAnsi="GHEA Grapalat" w:cs="Calibri"/>
                <w:sz w:val="22"/>
                <w:szCs w:val="22"/>
              </w:rPr>
              <w:t xml:space="preserve">`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կաթիլային խողովակաշարի միջոցով։</w:t>
            </w:r>
          </w:p>
        </w:tc>
      </w:tr>
      <w:tr w:rsidR="00686F90" w:rsidRPr="00686F90" w:rsidTr="00686F90">
        <w:trPr>
          <w:cantSplit/>
          <w:trHeight w:val="1023"/>
        </w:trPr>
        <w:tc>
          <w:tcPr>
            <w:tcW w:w="113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1.4</w:t>
            </w:r>
          </w:p>
        </w:tc>
        <w:tc>
          <w:tcPr>
            <w:tcW w:w="9456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suppressAutoHyphens/>
              <w:ind w:right="193"/>
              <w:jc w:val="center"/>
              <w:rPr>
                <w:rFonts w:ascii="GHEA Grapalat" w:hAnsi="GHEA Grapalat" w:cs="Calibri"/>
                <w:b/>
                <w:strike/>
                <w:sz w:val="22"/>
                <w:szCs w:val="22"/>
                <w:lang w:val="ru-RU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Ջեռուցում</w:t>
            </w: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ru-RU"/>
              </w:rPr>
              <w:t xml:space="preserve"> </w:t>
            </w: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(ոչ պարտադիր պայման)</w:t>
            </w:r>
          </w:p>
        </w:tc>
      </w:tr>
      <w:tr w:rsidR="00686F90" w:rsidRPr="00B36811" w:rsidTr="00686F90">
        <w:trPr>
          <w:cantSplit/>
          <w:trHeight w:val="102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1.4.1</w:t>
            </w:r>
          </w:p>
        </w:tc>
        <w:tc>
          <w:tcPr>
            <w:tcW w:w="9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Ջեռուցման համակարգը պետք է ունենա գործարանային տաքացուցիչ։ Կարող է լինել՝</w:t>
            </w:r>
          </w:p>
          <w:p w:rsidR="00686F90" w:rsidRPr="00686F90" w:rsidRDefault="00686F90" w:rsidP="00686F90">
            <w:pPr>
              <w:numPr>
                <w:ilvl w:val="0"/>
                <w:numId w:val="3"/>
              </w:numPr>
              <w:suppressAutoHyphens/>
              <w:ind w:left="708" w:right="193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կաթսայի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GHEA Grapalat"/>
                <w:sz w:val="22"/>
                <w:szCs w:val="22"/>
                <w:lang w:val="hy-AM"/>
              </w:rPr>
              <w:t>և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GHEA Grapalat"/>
                <w:sz w:val="22"/>
                <w:szCs w:val="22"/>
                <w:lang w:val="hy-AM"/>
              </w:rPr>
              <w:t>խողովակաշարի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686F90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կամ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GHEA Grapalat"/>
                <w:sz w:val="22"/>
                <w:szCs w:val="22"/>
                <w:lang w:val="hy-AM"/>
              </w:rPr>
              <w:t>ֆանկոլի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GHEA Grapalat"/>
                <w:sz w:val="22"/>
                <w:szCs w:val="22"/>
                <w:lang w:val="hy-AM"/>
              </w:rPr>
              <w:t>տեսքով,</w:t>
            </w:r>
          </w:p>
          <w:p w:rsidR="00686F90" w:rsidRPr="00686F90" w:rsidRDefault="00686F90" w:rsidP="00686F90">
            <w:pPr>
              <w:numPr>
                <w:ilvl w:val="0"/>
                <w:numId w:val="3"/>
              </w:numPr>
              <w:suppressAutoHyphens/>
              <w:ind w:left="708" w:right="193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թերմոգեներատորի/օդատաքացուցչի տեսքով, որի դեպքում թարմ օդը պետք է մատակարարվի վառարան արտաքին խողովակով և վառված գազերը նույնպես ուղղվեն ջերմատնից դուրս։</w:t>
            </w:r>
          </w:p>
        </w:tc>
      </w:tr>
    </w:tbl>
    <w:p w:rsidR="0041037A" w:rsidRPr="00686F90" w:rsidRDefault="0041037A" w:rsidP="00686F90">
      <w:pPr>
        <w:pStyle w:val="Header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86F90" w:rsidRDefault="00686F90">
      <w:pPr>
        <w:spacing w:after="160" w:line="259" w:lineRule="auto"/>
        <w:ind w:firstLine="0"/>
        <w:jc w:val="lef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41037A" w:rsidRPr="00686F90" w:rsidRDefault="0041037A" w:rsidP="00686F90">
      <w:pPr>
        <w:pStyle w:val="Header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86F90">
        <w:rPr>
          <w:rFonts w:ascii="GHEA Grapalat" w:hAnsi="GHEA Grapalat"/>
          <w:b/>
          <w:sz w:val="24"/>
          <w:szCs w:val="24"/>
          <w:lang w:val="hy-AM"/>
        </w:rPr>
        <w:lastRenderedPageBreak/>
        <w:t>Աղյուսակ 2</w:t>
      </w:r>
    </w:p>
    <w:p w:rsidR="0041037A" w:rsidRPr="00686F90" w:rsidRDefault="0041037A" w:rsidP="00686F90">
      <w:pPr>
        <w:pStyle w:val="Header"/>
        <w:ind w:firstLine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F90">
        <w:rPr>
          <w:rFonts w:ascii="GHEA Grapalat" w:hAnsi="GHEA Grapalat"/>
          <w:b/>
          <w:sz w:val="24"/>
          <w:szCs w:val="24"/>
          <w:lang w:val="hy-AM"/>
        </w:rPr>
        <w:t>Պոլիէթիլենային թաղանթով</w:t>
      </w:r>
      <w:r w:rsidRPr="00686F9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686F90">
        <w:rPr>
          <w:rFonts w:ascii="GHEA Grapalat" w:hAnsi="GHEA Grapalat"/>
          <w:b/>
          <w:sz w:val="24"/>
          <w:szCs w:val="24"/>
          <w:lang w:val="hy-AM"/>
        </w:rPr>
        <w:t xml:space="preserve">միաթռիչք (միագագաթ) և բազմաթռիչք (բազմագագաթ) </w:t>
      </w:r>
      <w:r w:rsidRPr="00686F90">
        <w:rPr>
          <w:rFonts w:ascii="GHEA Grapalat" w:hAnsi="GHEA Grapalat" w:cs="Arial"/>
          <w:b/>
          <w:sz w:val="24"/>
          <w:szCs w:val="24"/>
          <w:lang w:val="hy-AM"/>
        </w:rPr>
        <w:t>հողային հարստացված զանգվածով կամ հիդրոպոնիկ եղանակով ջերմատան կառուցման հիմնական չափորոշիչները</w:t>
      </w:r>
    </w:p>
    <w:tbl>
      <w:tblPr>
        <w:tblW w:w="10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5"/>
        <w:gridCol w:w="9440"/>
      </w:tblGrid>
      <w:tr w:rsidR="00686F90" w:rsidRPr="00686F90" w:rsidTr="00686F90">
        <w:trPr>
          <w:cantSplit/>
          <w:trHeight w:val="467"/>
        </w:trPr>
        <w:tc>
          <w:tcPr>
            <w:tcW w:w="1185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1.1</w:t>
            </w:r>
          </w:p>
        </w:tc>
        <w:tc>
          <w:tcPr>
            <w:tcW w:w="9440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jc w:val="center"/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Կոնստրուկցիա </w:t>
            </w:r>
          </w:p>
        </w:tc>
      </w:tr>
      <w:tr w:rsidR="00686F90" w:rsidRPr="00B36811" w:rsidTr="00686F90">
        <w:trPr>
          <w:cantSplit/>
          <w:trHeight w:val="17"/>
        </w:trPr>
        <w:tc>
          <w:tcPr>
            <w:tcW w:w="1185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1.1.1</w:t>
            </w:r>
          </w:p>
        </w:tc>
        <w:tc>
          <w:tcPr>
            <w:tcW w:w="9440" w:type="dxa"/>
            <w:shd w:val="clear" w:color="auto" w:fill="FFFFFF"/>
            <w:vAlign w:val="center"/>
          </w:tcPr>
          <w:p w:rsidR="00686F90" w:rsidRDefault="00686F90" w:rsidP="00686F90">
            <w:pPr>
              <w:suppressAutoHyphens/>
              <w:spacing w:before="60" w:after="60"/>
              <w:ind w:right="193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Ջերմ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ատան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 xml:space="preserve"> չափեր</w:t>
            </w:r>
          </w:p>
          <w:p w:rsidR="00B36811" w:rsidRPr="00686F90" w:rsidRDefault="00B36811" w:rsidP="00686F90">
            <w:pPr>
              <w:suppressAutoHyphens/>
              <w:spacing w:before="60" w:after="60"/>
              <w:ind w:right="193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B36811">
              <w:rPr>
                <w:rFonts w:ascii="GHEA Grapalat" w:hAnsi="GHEA Grapalat" w:cs="Calibri"/>
                <w:sz w:val="22"/>
                <w:szCs w:val="22"/>
                <w:lang w:val="hy-AM"/>
              </w:rPr>
              <w:t>Նվազագույն կողային բարձրություն՝ մինչև ջրհորդանը՝ առնվազն 3,5 մ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Նվազագույն գա</w:t>
            </w:r>
            <w:r w:rsidR="00B36811">
              <w:rPr>
                <w:rFonts w:ascii="GHEA Grapalat" w:hAnsi="GHEA Grapalat" w:cs="Calibri"/>
                <w:sz w:val="22"/>
                <w:szCs w:val="22"/>
                <w:lang w:val="hy-AM"/>
              </w:rPr>
              <w:t>գաթնային բարձրություն՝ առնվազն 5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.5 մ։</w:t>
            </w:r>
            <w:bookmarkStart w:id="0" w:name="_GoBack"/>
            <w:bookmarkEnd w:id="0"/>
          </w:p>
          <w:p w:rsidR="00686F90" w:rsidRPr="00686F90" w:rsidRDefault="00686F90" w:rsidP="00686F90">
            <w:pPr>
              <w:suppressAutoHyphens/>
              <w:spacing w:before="60" w:after="60"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Ջերմատան լայնություն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(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/>
              </w:rPr>
              <w:t>թռիչք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/>
              </w:rPr>
              <w:t>)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՝ մինչև 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/>
              </w:rPr>
              <w:t>6-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12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/>
              </w:rPr>
              <w:t>,8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մ։</w:t>
            </w:r>
          </w:p>
          <w:p w:rsidR="00686F90" w:rsidRPr="00686F90" w:rsidRDefault="00686F90" w:rsidP="00BC6ECC">
            <w:pPr>
              <w:suppressAutoHyphens/>
              <w:spacing w:before="60" w:after="60"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Ջերմատան երկարություն՝ 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/>
              </w:rPr>
              <w:t>ծրագրով ներկայացված ջերմատան մակերեսը ապահովելու հաշվով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։</w:t>
            </w:r>
          </w:p>
        </w:tc>
      </w:tr>
      <w:tr w:rsidR="00686F90" w:rsidRPr="00686F90" w:rsidTr="00686F90">
        <w:trPr>
          <w:cantSplit/>
          <w:trHeight w:val="1360"/>
        </w:trPr>
        <w:tc>
          <w:tcPr>
            <w:tcW w:w="1185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1.1.2</w:t>
            </w:r>
          </w:p>
        </w:tc>
        <w:tc>
          <w:tcPr>
            <w:tcW w:w="9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eastAsia="Calibri" w:hAnsi="GHEA Grapalat"/>
                <w:b/>
                <w:sz w:val="22"/>
                <w:szCs w:val="22"/>
              </w:rPr>
            </w:pPr>
            <w:r w:rsidRPr="00686F90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Դիմադրողականություն և ծանրաբեռնվածություն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/>
              <w:rPr>
                <w:rFonts w:ascii="GHEA Grapalat" w:eastAsia="Calibri" w:hAnsi="GHEA Grapalat"/>
                <w:sz w:val="22"/>
                <w:szCs w:val="22"/>
              </w:rPr>
            </w:pP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Քամու դեմ՝ առնվազն</w:t>
            </w:r>
            <w:r w:rsidR="00BC6ECC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90</w:t>
            </w:r>
            <w:r w:rsidRPr="00686F9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կմ</w:t>
            </w:r>
            <w:r w:rsidRPr="00686F90">
              <w:rPr>
                <w:rFonts w:ascii="GHEA Grapalat" w:eastAsia="Calibri" w:hAnsi="GHEA Grapalat"/>
                <w:sz w:val="22"/>
                <w:szCs w:val="22"/>
              </w:rPr>
              <w:t>/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ժ։</w:t>
            </w:r>
            <w:r w:rsidRPr="00686F90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</w:p>
          <w:p w:rsidR="00686F90" w:rsidRPr="00686F90" w:rsidRDefault="00686F90" w:rsidP="00686F90">
            <w:pPr>
              <w:suppressAutoHyphens/>
              <w:spacing w:before="60" w:after="60"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Ձյան բեռնվածություն՝ առնվազն</w:t>
            </w:r>
            <w:r w:rsidR="00BC6ECC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30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կգ/մ</w:t>
            </w:r>
            <w:r w:rsidRPr="00686F90">
              <w:rPr>
                <w:rFonts w:ascii="GHEA Grapalat" w:eastAsia="Calibri" w:hAnsi="GHEA Grapalat"/>
                <w:sz w:val="22"/>
                <w:szCs w:val="22"/>
                <w:vertAlign w:val="superscript"/>
                <w:lang w:val="hy-AM"/>
              </w:rPr>
              <w:t>2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/>
              </w:rPr>
              <w:t>։</w:t>
            </w:r>
          </w:p>
        </w:tc>
      </w:tr>
      <w:tr w:rsidR="00686F90" w:rsidRPr="00B36811" w:rsidTr="00686F90">
        <w:trPr>
          <w:cantSplit/>
          <w:trHeight w:val="17"/>
        </w:trPr>
        <w:tc>
          <w:tcPr>
            <w:tcW w:w="1185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1.1.3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Կոնստրուկցիա</w:t>
            </w:r>
          </w:p>
          <w:p w:rsidR="00BC6ECC" w:rsidRDefault="00686F90" w:rsidP="00686F90">
            <w:pPr>
              <w:tabs>
                <w:tab w:val="left" w:pos="990"/>
                <w:tab w:val="left" w:pos="1260"/>
              </w:tabs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Մետաղական կոնստրուկցիան և այլ ամրակցող նյութերը պետք է լինեն չժանգոտվող մետաղից՝ 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շենդզիմիրի շարունակական տաք ցինկապատված պողպատից՝ համաձայն 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Z275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և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Z450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ընթացակարգերի՝ ըստ 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NF EN 10326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ստանդարտի կամ այլ չժանգոտվող նյութից, ընդ որում չի թույլատրվում ժանգոտվող մետաղի պատումը չժանգոտվող նյութով։ Կոնստրուկցիան կրող խողովակները պետք է ունենան այնպիսի հաստություն, որը թույլ կտա ունենալ անհրաժեշտ դիմադրողականության և ծանրաբեռնվածության աստիճան, ըստ նշված պահանջների։ Ջերմատան կառուցման համար անհրաժեշտ կոնստրուկցիաները պետք է լինեն մեկ արտադրողի արտադրության։</w:t>
            </w:r>
            <w:r w:rsidR="00BC6ECC" w:rsidRP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</w:t>
            </w:r>
          </w:p>
          <w:p w:rsidR="00BC6ECC" w:rsidRPr="00686F90" w:rsidRDefault="00BC6ECC" w:rsidP="00BC6ECC">
            <w:pPr>
              <w:tabs>
                <w:tab w:val="left" w:pos="990"/>
                <w:tab w:val="left" w:pos="12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Ջերմատան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կողային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հատվածներում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պատուհանների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առկայության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դեպքում՝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գետնից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կողային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պատուհանները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ճակատային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հատվածներում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պոլիէթիլենային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թաղանթի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փոխարեն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կարելի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օգտագործել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արտադրողի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հավաստագրված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բազմամյա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առնվազն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 5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տարի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պոլիկարբոնատ</w:t>
            </w:r>
            <w:r w:rsidRPr="00686F90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686F90" w:rsidRPr="00686F90" w:rsidRDefault="00BC6ECC" w:rsidP="00BC6ECC">
            <w:pPr>
              <w:suppressAutoHyphens/>
              <w:ind w:right="193" w:firstLine="0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 xml:space="preserve">       </w:t>
            </w:r>
            <w:r w:rsidR="00686F90"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 xml:space="preserve">Դռներ </w:t>
            </w:r>
          </w:p>
          <w:p w:rsidR="00686F90" w:rsidRPr="00686F90" w:rsidRDefault="00686F90" w:rsidP="00BC6ECC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Առնվազն 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1,5 մետր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լայնքով</w:t>
            </w:r>
            <w:r w:rsidR="00BC6ECC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և 2,2 մետր բարձրությամբ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` չժանգոտվող նյութից։</w:t>
            </w:r>
            <w:r w:rsidRPr="00686F90">
              <w:rPr>
                <w:rFonts w:ascii="GHEA Grapalat" w:eastAsia="Calibri" w:hAnsi="GHEA Grapalat"/>
                <w:sz w:val="22"/>
                <w:szCs w:val="22"/>
                <w:lang w:val="hy-AM" w:eastAsia="en-GB"/>
              </w:rPr>
              <w:t xml:space="preserve"> </w:t>
            </w:r>
          </w:p>
        </w:tc>
      </w:tr>
      <w:tr w:rsidR="00686F90" w:rsidRPr="00686F90" w:rsidTr="00686F90">
        <w:trPr>
          <w:cantSplit/>
          <w:trHeight w:val="1188"/>
        </w:trPr>
        <w:tc>
          <w:tcPr>
            <w:tcW w:w="1185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1.1.4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en-GB" w:eastAsia="en-GB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Օդափոխություն</w:t>
            </w: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:rsidR="00686F90" w:rsidRPr="00686F90" w:rsidRDefault="00BC6ECC" w:rsidP="00686F90">
            <w:pPr>
              <w:tabs>
                <w:tab w:val="left" w:pos="2021"/>
              </w:tabs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eastAsia="en-GB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Ջերմատունը պետք է ունենա միակողմանի կամ երկկողմանի, ավտոմատ կառավարման համակարգով</w:t>
            </w:r>
            <w:r w:rsidR="00E512EB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տանիքում բացվող պատուհաններ և օդափոխիչներ։</w:t>
            </w:r>
            <w:r w:rsidR="00686F90"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 xml:space="preserve"> </w:t>
            </w:r>
          </w:p>
        </w:tc>
      </w:tr>
      <w:tr w:rsidR="00686F90" w:rsidRPr="00686F90" w:rsidTr="00686F90">
        <w:trPr>
          <w:cantSplit/>
          <w:trHeight w:val="736"/>
        </w:trPr>
        <w:tc>
          <w:tcPr>
            <w:tcW w:w="1185" w:type="dxa"/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1.1.5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en-GB" w:eastAsia="en-GB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Պտուտակներ, մալուխներ և ամրակցող դետալներ</w:t>
            </w:r>
          </w:p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en-GB" w:eastAsia="en-GB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Պետք է լինեն բարձրորակ ցինկապատ մետաղից կամ այլ չժանգոտվող մետաղից։</w:t>
            </w:r>
          </w:p>
        </w:tc>
      </w:tr>
      <w:tr w:rsidR="00E512EB" w:rsidRPr="00686F90" w:rsidTr="00686F90">
        <w:trPr>
          <w:cantSplit/>
          <w:trHeight w:val="736"/>
        </w:trPr>
        <w:tc>
          <w:tcPr>
            <w:tcW w:w="1185" w:type="dxa"/>
            <w:shd w:val="clear" w:color="auto" w:fill="FFFFFF"/>
            <w:vAlign w:val="center"/>
          </w:tcPr>
          <w:p w:rsidR="00E512EB" w:rsidRPr="00686F90" w:rsidRDefault="00E512EB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2EB" w:rsidRDefault="00E512EB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eastAsia="en-GB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 xml:space="preserve">Բույսերի ջրհորդանային համակարգ </w:t>
            </w:r>
            <w:r w:rsidRPr="00E512EB">
              <w:rPr>
                <w:rFonts w:ascii="GHEA Grapalat" w:hAnsi="GHEA Grapalat" w:cs="Calibri"/>
                <w:b/>
                <w:sz w:val="22"/>
                <w:szCs w:val="22"/>
                <w:lang w:eastAsia="en-GB"/>
              </w:rPr>
              <w:t>(</w:t>
            </w:r>
            <w:r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հիդրոպոնիկ մշակության դեպքում</w:t>
            </w:r>
            <w:r w:rsidRPr="00E512EB">
              <w:rPr>
                <w:rFonts w:ascii="GHEA Grapalat" w:hAnsi="GHEA Grapalat" w:cs="Calibri"/>
                <w:b/>
                <w:sz w:val="22"/>
                <w:szCs w:val="22"/>
                <w:lang w:eastAsia="en-GB"/>
              </w:rPr>
              <w:t>)</w:t>
            </w:r>
          </w:p>
          <w:p w:rsidR="00E512EB" w:rsidRPr="00E512EB" w:rsidRDefault="00E512EB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</w:pPr>
            <w:r w:rsidRPr="00E512EB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Մետաղական կամ պլաստմասսայե ջրհորդանների համակարգ</w:t>
            </w:r>
          </w:p>
        </w:tc>
      </w:tr>
      <w:tr w:rsidR="00E512EB" w:rsidRPr="00686F90" w:rsidTr="00686F90">
        <w:trPr>
          <w:cantSplit/>
          <w:trHeight w:val="736"/>
        </w:trPr>
        <w:tc>
          <w:tcPr>
            <w:tcW w:w="1185" w:type="dxa"/>
            <w:shd w:val="clear" w:color="auto" w:fill="FFFFFF"/>
            <w:vAlign w:val="center"/>
          </w:tcPr>
          <w:p w:rsidR="00E512EB" w:rsidRPr="00686F90" w:rsidRDefault="00E512EB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2EB" w:rsidRDefault="00E512EB" w:rsidP="00686F90">
            <w:pPr>
              <w:suppressAutoHyphens/>
              <w:ind w:right="193"/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</w:pPr>
            <w:r>
              <w:rPr>
                <w:rFonts w:ascii="GHEA Grapalat" w:hAnsi="GHEA Grapalat" w:cs="Calibri"/>
                <w:b/>
                <w:sz w:val="22"/>
                <w:szCs w:val="22"/>
                <w:lang w:val="hy-AM" w:eastAsia="en-GB"/>
              </w:rPr>
              <w:t>Հիմքեր</w:t>
            </w:r>
          </w:p>
          <w:p w:rsidR="00E512EB" w:rsidRPr="00E512EB" w:rsidRDefault="00E512EB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</w:pPr>
            <w:r w:rsidRPr="00E512EB">
              <w:rPr>
                <w:rFonts w:ascii="GHEA Grapalat" w:hAnsi="GHEA Grapalat" w:cs="Calibri"/>
                <w:sz w:val="22"/>
                <w:szCs w:val="22"/>
                <w:lang w:val="hy-AM" w:eastAsia="en-GB"/>
              </w:rPr>
              <w:t>Ջերմատան հիմքերը պետք է տեղադրվեն առնվազն 80 սմ խորությամբ՝ բետոնային ամրակցմամբ</w:t>
            </w:r>
          </w:p>
        </w:tc>
      </w:tr>
      <w:tr w:rsidR="00686F90" w:rsidRPr="00686F90" w:rsidTr="00686F90">
        <w:trPr>
          <w:cantSplit/>
          <w:trHeight w:val="602"/>
        </w:trPr>
        <w:tc>
          <w:tcPr>
            <w:tcW w:w="1185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1.2</w:t>
            </w:r>
          </w:p>
        </w:tc>
        <w:tc>
          <w:tcPr>
            <w:tcW w:w="9440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suppressAutoHyphens/>
              <w:ind w:right="193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Թաղանթներ և ցանցեր</w:t>
            </w:r>
          </w:p>
        </w:tc>
      </w:tr>
      <w:tr w:rsidR="00686F90" w:rsidRPr="00B36811" w:rsidTr="00686F90">
        <w:trPr>
          <w:cantSplit/>
          <w:trHeight w:val="10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1.2.1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Մեկ շերտ թաղանթապատման դեպքում թաղանթին ներկայացվող պահանջներ՝</w:t>
            </w:r>
          </w:p>
          <w:p w:rsidR="00686F90" w:rsidRPr="00686F90" w:rsidRDefault="00686F90" w:rsidP="00686F90">
            <w:pPr>
              <w:numPr>
                <w:ilvl w:val="0"/>
                <w:numId w:val="1"/>
              </w:numPr>
              <w:ind w:left="708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հավելանյութեր</w:t>
            </w:r>
            <w:r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E512EB" w:rsidRP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EVA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(</w:t>
            </w:r>
            <w:r w:rsid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բարձր առաձգականություն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), </w:t>
            </w:r>
            <w:r w:rsidR="00E512EB" w:rsidRP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IR (</w:t>
            </w:r>
            <w:r w:rsid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թերմիկ, ջերմախնայող</w:t>
            </w:r>
            <w:r w:rsidR="00E512EB" w:rsidRP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)</w:t>
            </w:r>
            <w:r w:rsid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AD (հակակաթոցային), UV (ուլտրամանուշակագույն ճառագայթման դեմ դիմադրողականություն),</w:t>
            </w:r>
            <w:r w:rsidRPr="00686F90">
              <w:rPr>
                <w:rFonts w:ascii="GHEA Grapalat" w:hAnsi="GHEA Grapalat" w:cs="Calibri"/>
                <w:i/>
                <w:sz w:val="22"/>
                <w:szCs w:val="22"/>
                <w:lang w:val="hy-AM"/>
              </w:rPr>
              <w:t xml:space="preserve"> </w:t>
            </w:r>
          </w:p>
          <w:p w:rsidR="00686F90" w:rsidRPr="00686F90" w:rsidRDefault="00686F90" w:rsidP="00686F90">
            <w:pPr>
              <w:numPr>
                <w:ilvl w:val="0"/>
                <w:numId w:val="1"/>
              </w:numPr>
              <w:ind w:left="708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թաղանթի նյութ՝ պոլիէթիլեն, հաստությունը </w:t>
            </w:r>
            <w:r w:rsid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առնվազն 15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0 միկրոն,</w:t>
            </w:r>
          </w:p>
          <w:p w:rsidR="00686F90" w:rsidRPr="00686F90" w:rsidRDefault="00686F90" w:rsidP="00686F90">
            <w:pPr>
              <w:numPr>
                <w:ilvl w:val="0"/>
                <w:numId w:val="1"/>
              </w:numPr>
              <w:suppressAutoHyphens/>
              <w:ind w:left="708" w:right="193"/>
              <w:contextualSpacing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հավելանյութերի գործման</w:t>
            </w:r>
            <w:r w:rsidR="00E512EB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 գործարանային երաշխիք՝ առնվազն 3 սեզոն (3</w:t>
            </w: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0 ամիս)։</w:t>
            </w:r>
          </w:p>
        </w:tc>
      </w:tr>
      <w:tr w:rsidR="00686F90" w:rsidRPr="00B36811" w:rsidTr="00686F90">
        <w:trPr>
          <w:cantSplit/>
          <w:trHeight w:val="10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1.2.2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Երկշերտ թաղանթապատման դեպքում` </w:t>
            </w:r>
          </w:p>
          <w:p w:rsidR="00686F90" w:rsidRPr="00686F90" w:rsidRDefault="00686F90" w:rsidP="00686F90">
            <w:pPr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Վերին շերտ</w:t>
            </w:r>
          </w:p>
          <w:p w:rsidR="00686F90" w:rsidRPr="00686F90" w:rsidRDefault="00686F90" w:rsidP="00686F90">
            <w:pPr>
              <w:numPr>
                <w:ilvl w:val="0"/>
                <w:numId w:val="8"/>
              </w:numPr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հավելանյութեր՝ UV (ուլտրամանուշակագույն ճառագայթման դեմ դիմադրողականություն), </w:t>
            </w:r>
          </w:p>
          <w:p w:rsidR="00686F90" w:rsidRPr="00686F90" w:rsidRDefault="00686F90" w:rsidP="00686F90">
            <w:pPr>
              <w:numPr>
                <w:ilvl w:val="0"/>
                <w:numId w:val="8"/>
              </w:numPr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թաղանթի նյութ՝ պոլիէթիլեն, հաստությունը առնվազն 140 միկրոն,</w:t>
            </w:r>
          </w:p>
          <w:p w:rsidR="00686F90" w:rsidRPr="00686F90" w:rsidRDefault="00686F90" w:rsidP="00686F90">
            <w:pPr>
              <w:numPr>
                <w:ilvl w:val="0"/>
                <w:numId w:val="8"/>
              </w:numPr>
              <w:suppressAutoHyphens/>
              <w:ind w:right="193"/>
              <w:contextualSpacing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հավելանյութերի գործման</w:t>
            </w:r>
            <w:r w:rsidR="00E512EB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 գործարանային երաշ</w:t>
            </w:r>
            <w:r w:rsidR="00153287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խիք՝ առնվազն 3 սեզոն (</w:t>
            </w:r>
            <w:r w:rsidR="00E512EB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3</w:t>
            </w: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0 ամիս)։</w:t>
            </w:r>
          </w:p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Ստորին շերտ</w:t>
            </w:r>
          </w:p>
          <w:p w:rsidR="00153287" w:rsidRPr="00686F90" w:rsidRDefault="00686F90" w:rsidP="00153287">
            <w:pPr>
              <w:numPr>
                <w:ilvl w:val="0"/>
                <w:numId w:val="1"/>
              </w:numPr>
              <w:ind w:left="708"/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 </w:t>
            </w:r>
            <w:r w:rsidR="00153287"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հավելանյութեր</w:t>
            </w:r>
            <w:r w:rsidR="00153287" w:rsidRPr="00686F90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="00153287"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153287" w:rsidRP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EVA</w:t>
            </w:r>
            <w:r w:rsidR="00153287"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(</w:t>
            </w:r>
            <w:r w:rsid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>բարձր առաձգականություն</w:t>
            </w:r>
            <w:r w:rsidR="00153287"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), </w:t>
            </w:r>
            <w:r w:rsidR="00153287" w:rsidRP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IR (</w:t>
            </w:r>
            <w:r w:rsid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>թերմիկ, ջերմախնայող</w:t>
            </w:r>
            <w:r w:rsidR="00153287" w:rsidRPr="00E512EB">
              <w:rPr>
                <w:rFonts w:ascii="GHEA Grapalat" w:hAnsi="GHEA Grapalat" w:cs="Calibri"/>
                <w:sz w:val="22"/>
                <w:szCs w:val="22"/>
                <w:lang w:val="hy-AM"/>
              </w:rPr>
              <w:t>)</w:t>
            </w:r>
            <w:r w:rsid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="00153287"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AD (հակակաթոցային), UV (ուլտրամանուշակագույն ճառագայթման դեմ դիմադրողականություն),</w:t>
            </w:r>
            <w:r w:rsidR="00153287" w:rsidRPr="00686F90">
              <w:rPr>
                <w:rFonts w:ascii="GHEA Grapalat" w:hAnsi="GHEA Grapalat" w:cs="Calibri"/>
                <w:i/>
                <w:sz w:val="22"/>
                <w:szCs w:val="22"/>
                <w:lang w:val="hy-AM"/>
              </w:rPr>
              <w:t xml:space="preserve"> </w:t>
            </w:r>
          </w:p>
          <w:p w:rsidR="00686F90" w:rsidRPr="00686F90" w:rsidRDefault="00686F90" w:rsidP="00686F90">
            <w:pPr>
              <w:numPr>
                <w:ilvl w:val="0"/>
                <w:numId w:val="2"/>
              </w:numPr>
              <w:contextualSpacing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թաղանթի նյութ՝ պոլիէթիլեն, հաստությունը առնվազն 1</w:t>
            </w:r>
            <w:r w:rsid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>2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0 միկրոն,</w:t>
            </w:r>
          </w:p>
          <w:p w:rsidR="00686F90" w:rsidRPr="00686F90" w:rsidRDefault="00686F90" w:rsidP="00686F90">
            <w:pPr>
              <w:numPr>
                <w:ilvl w:val="0"/>
                <w:numId w:val="2"/>
              </w:numPr>
              <w:suppressAutoHyphens/>
              <w:ind w:right="193"/>
              <w:contextualSpacing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հավելանյութերի գործման</w:t>
            </w:r>
            <w:r w:rsidR="00153287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 xml:space="preserve"> գործարանային երաշխիք՝ առնվազն 3 սեզոն (3</w:t>
            </w:r>
            <w:r w:rsidRPr="00686F90"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  <w:t>0 ամիս)։</w:t>
            </w:r>
          </w:p>
        </w:tc>
      </w:tr>
      <w:tr w:rsidR="00686F90" w:rsidRPr="00686F90" w:rsidTr="00686F90">
        <w:trPr>
          <w:cantSplit/>
          <w:trHeight w:val="10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t>1.2.3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Միջատապաշտպան ցանց</w:t>
            </w: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 xml:space="preserve"> ( 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ոչ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պարտադիր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պայման</w:t>
            </w:r>
            <w:proofErr w:type="spellEnd"/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)</w:t>
            </w:r>
          </w:p>
          <w:p w:rsidR="00686F90" w:rsidRPr="00686F90" w:rsidRDefault="00686F90" w:rsidP="00686F90">
            <w:pPr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Ուլտրամանուշակագույն ճառագայթման դեմ դիմադրողականություն՝ առնվազն 4 տարի, անցքերի մեծություն՝ 50 մեշ </w:t>
            </w:r>
            <w:r w:rsidRPr="00686F90">
              <w:rPr>
                <w:rFonts w:ascii="GHEA Grapalat" w:hAnsi="GHEA Grapalat" w:cs="Calibri"/>
                <w:sz w:val="22"/>
                <w:szCs w:val="22"/>
              </w:rPr>
              <w:t>(Mesh)</w:t>
            </w: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։</w:t>
            </w:r>
          </w:p>
        </w:tc>
      </w:tr>
      <w:tr w:rsidR="00686F90" w:rsidRPr="00686F90" w:rsidTr="00686F90">
        <w:trPr>
          <w:cantSplit/>
          <w:trHeight w:val="467"/>
        </w:trPr>
        <w:tc>
          <w:tcPr>
            <w:tcW w:w="1185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1.3</w:t>
            </w:r>
          </w:p>
        </w:tc>
        <w:tc>
          <w:tcPr>
            <w:tcW w:w="9440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suppressAutoHyphens/>
              <w:ind w:right="193"/>
              <w:jc w:val="center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Ոռոգման կաթիլային համակարգ</w:t>
            </w:r>
          </w:p>
        </w:tc>
      </w:tr>
      <w:tr w:rsidR="00686F90" w:rsidRPr="00686F90" w:rsidTr="00686F90">
        <w:trPr>
          <w:cantSplit/>
          <w:trHeight w:val="10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F90" w:rsidRPr="00153287" w:rsidRDefault="00153287" w:rsidP="00153287">
            <w:pPr>
              <w:pStyle w:val="ListParagraph"/>
              <w:numPr>
                <w:ilvl w:val="0"/>
                <w:numId w:val="9"/>
              </w:numPr>
              <w:rPr>
                <w:rFonts w:ascii="GHEA Grapalat" w:hAnsi="GHEA Grapalat" w:cs="Calibri"/>
                <w:sz w:val="22"/>
                <w:szCs w:val="22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Հողային հարստացված զանգվածով մշակության եղանակի դեպքում ոռոգման կաթիլային համակարգը պետք է ունենա պարարտանյութի խառնման և արդյունավետ բաշխման հնարավորություն՝ կաթիլային խողովակաշարի միջոցով։</w:t>
            </w:r>
          </w:p>
          <w:p w:rsidR="00153287" w:rsidRPr="00153287" w:rsidRDefault="00153287" w:rsidP="00153287">
            <w:pPr>
              <w:pStyle w:val="ListParagraph"/>
              <w:numPr>
                <w:ilvl w:val="0"/>
                <w:numId w:val="9"/>
              </w:numPr>
              <w:rPr>
                <w:rFonts w:ascii="GHEA Grapalat" w:hAnsi="GHEA Grapalat" w:cs="Calibri"/>
                <w:sz w:val="22"/>
                <w:szCs w:val="22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Հիդրոպոնիկ եղանակով մշակության դեպքում ոռոգման համակարգը պետք է ունենա էլեկտրոնային կարգավորմամբ պարարտանյութի խառնման և արդյունավետ բաշխման հնարավորություն՝ կաթիլային խողովակաշարի միջոցով։</w:t>
            </w:r>
          </w:p>
        </w:tc>
      </w:tr>
      <w:tr w:rsidR="00686F90" w:rsidRPr="00686F90" w:rsidTr="00686F90">
        <w:trPr>
          <w:cantSplit/>
          <w:trHeight w:val="719"/>
        </w:trPr>
        <w:tc>
          <w:tcPr>
            <w:tcW w:w="1185" w:type="dxa"/>
            <w:shd w:val="pct10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b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</w:rPr>
              <w:t>1.4</w:t>
            </w:r>
          </w:p>
        </w:tc>
        <w:tc>
          <w:tcPr>
            <w:tcW w:w="9440" w:type="dxa"/>
            <w:shd w:val="pct10" w:color="auto" w:fill="FFFFFF"/>
            <w:vAlign w:val="center"/>
          </w:tcPr>
          <w:p w:rsidR="00686F90" w:rsidRPr="00686F90" w:rsidRDefault="00686F90" w:rsidP="00153287">
            <w:pPr>
              <w:suppressAutoHyphens/>
              <w:ind w:right="193"/>
              <w:jc w:val="center"/>
              <w:rPr>
                <w:rFonts w:ascii="GHEA Grapalat" w:hAnsi="GHEA Grapalat" w:cs="Calibri"/>
                <w:b/>
                <w:strike/>
                <w:sz w:val="22"/>
                <w:szCs w:val="22"/>
                <w:lang w:val="ru-RU"/>
              </w:rPr>
            </w:pP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Ջեռուցում</w:t>
            </w:r>
            <w:r w:rsidRPr="00686F90">
              <w:rPr>
                <w:rFonts w:ascii="GHEA Grapalat" w:hAnsi="GHEA Grapalat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686F90" w:rsidRPr="00BC6ECC" w:rsidTr="00686F90">
        <w:trPr>
          <w:cantSplit/>
          <w:trHeight w:val="10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F90" w:rsidRPr="00686F90" w:rsidRDefault="00686F90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686F90">
              <w:rPr>
                <w:rFonts w:ascii="GHEA Grapalat" w:hAnsi="GHEA Grapalat" w:cs="Calibri"/>
                <w:sz w:val="22"/>
                <w:szCs w:val="22"/>
                <w:lang w:val="hy-AM"/>
              </w:rPr>
              <w:t>Ջեռուցման համակարգը պետք է ունենա գործարանային տաքացուցիչ։ Կարող է լինել՝</w:t>
            </w:r>
          </w:p>
          <w:p w:rsidR="00153287" w:rsidRPr="00153287" w:rsidRDefault="00686F90" w:rsidP="00153287">
            <w:pPr>
              <w:pStyle w:val="ListParagraph"/>
              <w:numPr>
                <w:ilvl w:val="0"/>
                <w:numId w:val="10"/>
              </w:numPr>
              <w:suppressAutoHyphens/>
              <w:ind w:left="796" w:right="193" w:hanging="27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153287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կաթսայի</w:t>
            </w:r>
            <w:r w:rsidRP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53287">
              <w:rPr>
                <w:rFonts w:ascii="GHEA Grapalat" w:hAnsi="GHEA Grapalat" w:cs="GHEA Grapalat"/>
                <w:sz w:val="22"/>
                <w:szCs w:val="22"/>
                <w:lang w:val="hy-AM"/>
              </w:rPr>
              <w:t>և</w:t>
            </w:r>
            <w:r w:rsidRP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53287">
              <w:rPr>
                <w:rFonts w:ascii="GHEA Grapalat" w:hAnsi="GHEA Grapalat" w:cs="GHEA Grapalat"/>
                <w:sz w:val="22"/>
                <w:szCs w:val="22"/>
                <w:lang w:val="hy-AM"/>
              </w:rPr>
              <w:t>խողովակաշարի</w:t>
            </w:r>
            <w:r w:rsidRP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, </w:t>
            </w:r>
            <w:r w:rsidRPr="00153287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կամ</w:t>
            </w:r>
            <w:r w:rsidRP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53287">
              <w:rPr>
                <w:rFonts w:ascii="GHEA Grapalat" w:hAnsi="GHEA Grapalat" w:cs="GHEA Grapalat"/>
                <w:sz w:val="22"/>
                <w:szCs w:val="22"/>
                <w:lang w:val="hy-AM"/>
              </w:rPr>
              <w:t>ֆանկոլի</w:t>
            </w:r>
            <w:r w:rsidRP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Pr="00153287">
              <w:rPr>
                <w:rFonts w:ascii="GHEA Grapalat" w:hAnsi="GHEA Grapalat" w:cs="GHEA Grapalat"/>
                <w:sz w:val="22"/>
                <w:szCs w:val="22"/>
                <w:lang w:val="hy-AM"/>
              </w:rPr>
              <w:t>տեսքով,</w:t>
            </w:r>
          </w:p>
          <w:p w:rsidR="00686F90" w:rsidRDefault="00686F90" w:rsidP="00153287">
            <w:pPr>
              <w:pStyle w:val="ListParagraph"/>
              <w:numPr>
                <w:ilvl w:val="0"/>
                <w:numId w:val="10"/>
              </w:numPr>
              <w:suppressAutoHyphens/>
              <w:ind w:left="796" w:right="193" w:hanging="27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 w:rsidRP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>թերմոգեներատորի/օդատաքացուցչի տեսքով, որի դեպքում թարմ օդը պետք է մատակարարվի վառարան արտաքին խողովակով և վառված գազերը նույնպես ուղղվեն ջերմատնից դուրս։</w:t>
            </w:r>
            <w:r w:rsidR="00153287" w:rsidRP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 </w:t>
            </w:r>
            <w:r w:rsidR="00153287">
              <w:rPr>
                <w:rFonts w:ascii="GHEA Grapalat" w:hAnsi="GHEA Grapalat" w:cs="Calibri"/>
                <w:sz w:val="22"/>
                <w:szCs w:val="22"/>
                <w:lang w:val="hy-AM"/>
              </w:rPr>
              <w:t>Սարքավորումները պետք է լինեն ցինկապատ կամ չժանգոտվող մետաղից։</w:t>
            </w:r>
          </w:p>
          <w:p w:rsidR="00153287" w:rsidRDefault="00153287" w:rsidP="00153287">
            <w:pPr>
              <w:suppressAutoHyphens/>
              <w:ind w:left="526" w:right="193" w:firstLine="0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Ջրի և օդի տաքացման եղանակներ՝</w:t>
            </w:r>
          </w:p>
          <w:p w:rsidR="00153287" w:rsidRPr="00153287" w:rsidRDefault="00153287" w:rsidP="00153287">
            <w:pPr>
              <w:pStyle w:val="ListParagraph"/>
              <w:numPr>
                <w:ilvl w:val="0"/>
                <w:numId w:val="11"/>
              </w:num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գազ</w:t>
            </w:r>
          </w:p>
          <w:p w:rsidR="00153287" w:rsidRPr="00153287" w:rsidRDefault="00153287" w:rsidP="00153287">
            <w:pPr>
              <w:pStyle w:val="ListParagraph"/>
              <w:numPr>
                <w:ilvl w:val="0"/>
                <w:numId w:val="11"/>
              </w:num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էլեկտրաէներգիա</w:t>
            </w:r>
          </w:p>
          <w:p w:rsidR="00153287" w:rsidRPr="00153287" w:rsidRDefault="00153287" w:rsidP="00153287">
            <w:pPr>
              <w:pStyle w:val="ListParagraph"/>
              <w:numPr>
                <w:ilvl w:val="0"/>
                <w:numId w:val="11"/>
              </w:num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պինդ և դիզելային վառելիք</w:t>
            </w:r>
          </w:p>
          <w:p w:rsidR="00153287" w:rsidRPr="00153287" w:rsidRDefault="00153287" w:rsidP="00153287">
            <w:pPr>
              <w:pStyle w:val="ListParagraph"/>
              <w:numPr>
                <w:ilvl w:val="0"/>
                <w:numId w:val="11"/>
              </w:num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այլ էներգակիրներ </w:t>
            </w:r>
            <w:r>
              <w:rPr>
                <w:rFonts w:ascii="GHEA Grapalat" w:hAnsi="GHEA Grapalat" w:cs="Calibri"/>
                <w:sz w:val="22"/>
                <w:szCs w:val="22"/>
                <w:lang w:val="ru-RU"/>
              </w:rPr>
              <w:t>(</w:t>
            </w: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բացառությամբ փայտի</w:t>
            </w:r>
            <w:r>
              <w:rPr>
                <w:rFonts w:ascii="GHEA Grapalat" w:hAnsi="GHEA Grapalat" w:cs="Calibri"/>
                <w:sz w:val="22"/>
                <w:szCs w:val="22"/>
                <w:lang w:val="ru-RU"/>
              </w:rPr>
              <w:t>):</w:t>
            </w:r>
          </w:p>
        </w:tc>
      </w:tr>
      <w:tr w:rsidR="00153287" w:rsidRPr="00BC6ECC" w:rsidTr="00B0353B">
        <w:trPr>
          <w:cantSplit/>
          <w:trHeight w:val="755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287" w:rsidRPr="00B0353B" w:rsidRDefault="00B0353B" w:rsidP="00B0353B">
            <w:pPr>
              <w:jc w:val="left"/>
              <w:rPr>
                <w:rFonts w:ascii="GHEA Grapalat" w:hAnsi="GHEA Grapalat" w:cs="Calibri"/>
                <w:b/>
                <w:sz w:val="22"/>
                <w:szCs w:val="22"/>
                <w:lang w:val="ru-RU"/>
              </w:rPr>
            </w:pPr>
            <w:r w:rsidRPr="00B0353B">
              <w:rPr>
                <w:rFonts w:ascii="GHEA Grapalat" w:hAnsi="GHEA Grapalat" w:cs="Calibri"/>
                <w:b/>
                <w:sz w:val="22"/>
                <w:szCs w:val="22"/>
                <w:lang w:val="ru-RU"/>
              </w:rPr>
              <w:t>1.5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3287" w:rsidRPr="00B0353B" w:rsidRDefault="00B0353B" w:rsidP="00B0353B">
            <w:pPr>
              <w:suppressAutoHyphens/>
              <w:ind w:right="193"/>
              <w:jc w:val="center"/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</w:pPr>
            <w:r w:rsidRPr="00B0353B">
              <w:rPr>
                <w:rFonts w:ascii="GHEA Grapalat" w:hAnsi="GHEA Grapalat" w:cs="Calibri"/>
                <w:b/>
                <w:sz w:val="22"/>
                <w:szCs w:val="22"/>
                <w:lang w:val="hy-AM"/>
              </w:rPr>
              <w:t>Կլիմայի կառավարման համակարգ</w:t>
            </w:r>
          </w:p>
        </w:tc>
      </w:tr>
      <w:tr w:rsidR="00B0353B" w:rsidRPr="00B36811" w:rsidTr="00B0353B">
        <w:trPr>
          <w:cantSplit/>
          <w:trHeight w:val="3581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53B" w:rsidRPr="00B0353B" w:rsidRDefault="00B0353B" w:rsidP="00686F90">
            <w:pPr>
              <w:rPr>
                <w:rFonts w:ascii="GHEA Grapalat" w:hAnsi="GHEA Grapalat" w:cs="Calibri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ru-RU"/>
              </w:rPr>
              <w:t>1.5.1</w:t>
            </w:r>
          </w:p>
        </w:tc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53B" w:rsidRDefault="00B0353B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Ջերմատունը պետք է ունենա կլիմայի վերահսկման և ջերմատան կառավարման ավտոմատ համակարգ՝ օժտված հատուկ տվիչներով </w:t>
            </w:r>
            <w:r>
              <w:rPr>
                <w:rFonts w:ascii="GHEA Grapalat" w:hAnsi="GHEA Grapalat" w:cs="Calibri"/>
                <w:sz w:val="22"/>
                <w:szCs w:val="22"/>
                <w:lang w:val="ru-RU"/>
              </w:rPr>
              <w:t>(</w:t>
            </w: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սենսորներով</w:t>
            </w:r>
            <w:r>
              <w:rPr>
                <w:rFonts w:ascii="GHEA Grapalat" w:hAnsi="GHEA Grapalat" w:cs="Calibri"/>
                <w:sz w:val="22"/>
                <w:szCs w:val="22"/>
                <w:lang w:val="ru-RU"/>
              </w:rPr>
              <w:t>)</w:t>
            </w: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։ Այն է՝ քամու ուժգնության, տեղումների, օդի ջերմաստիճանի և հարաբերական խոնավության։ Օդի ջերմաստիճանի և հարաբերական խոնավության տվիչները պետք է տեղադրված լինեն ինչպես ջերմատան ներսում, այնպես էլ ջերմատնից դուրս։</w:t>
            </w:r>
          </w:p>
          <w:p w:rsidR="00B0353B" w:rsidRPr="00B0353B" w:rsidRDefault="00B0353B" w:rsidP="00686F90">
            <w:pPr>
              <w:suppressAutoHyphens/>
              <w:ind w:right="193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sz w:val="22"/>
                <w:szCs w:val="22"/>
                <w:lang w:val="hy-AM"/>
              </w:rPr>
              <w:t>Կլիմայի կառավարման համակարգով պետք է աշխատեն ջեռուցման համակարգը և օդափոխության պատուհանները, ցանկալի է նաև ջերմախնայող և ստվերարկող վարագույրները, ոռոգման համակարգը։</w:t>
            </w:r>
          </w:p>
        </w:tc>
      </w:tr>
    </w:tbl>
    <w:p w:rsidR="004E0C6E" w:rsidRPr="00686F90" w:rsidRDefault="004E0C6E" w:rsidP="00686F90">
      <w:pPr>
        <w:rPr>
          <w:rFonts w:ascii="GHEA Grapalat" w:hAnsi="GHEA Grapalat"/>
          <w:lang w:val="hy-AM"/>
        </w:rPr>
      </w:pPr>
    </w:p>
    <w:sectPr w:rsidR="004E0C6E" w:rsidRPr="00686F90" w:rsidSect="0041037A">
      <w:pgSz w:w="12240" w:h="15840"/>
      <w:pgMar w:top="54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900"/>
    <w:multiLevelType w:val="hybridMultilevel"/>
    <w:tmpl w:val="1F88F9CC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1C884036"/>
    <w:multiLevelType w:val="hybridMultilevel"/>
    <w:tmpl w:val="36BC43D8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E840E7"/>
    <w:multiLevelType w:val="hybridMultilevel"/>
    <w:tmpl w:val="B5D8D644"/>
    <w:lvl w:ilvl="0" w:tplc="09960D68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2C601B7B"/>
    <w:multiLevelType w:val="hybridMultilevel"/>
    <w:tmpl w:val="E856C746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3B503D10"/>
    <w:multiLevelType w:val="hybridMultilevel"/>
    <w:tmpl w:val="AA90F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4ADA"/>
    <w:multiLevelType w:val="hybridMultilevel"/>
    <w:tmpl w:val="C3701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6641"/>
    <w:multiLevelType w:val="hybridMultilevel"/>
    <w:tmpl w:val="E2C09B7A"/>
    <w:lvl w:ilvl="0" w:tplc="100E5BB0">
      <w:start w:val="1"/>
      <w:numFmt w:val="decimal"/>
      <w:lvlText w:val="%1)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6BA1479B"/>
    <w:multiLevelType w:val="hybridMultilevel"/>
    <w:tmpl w:val="918C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B50AE"/>
    <w:multiLevelType w:val="hybridMultilevel"/>
    <w:tmpl w:val="CFD01724"/>
    <w:lvl w:ilvl="0" w:tplc="041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9" w15:restartNumberingAfterBreak="0">
    <w:nsid w:val="733B673D"/>
    <w:multiLevelType w:val="hybridMultilevel"/>
    <w:tmpl w:val="E9D071F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962754C"/>
    <w:multiLevelType w:val="hybridMultilevel"/>
    <w:tmpl w:val="3B4EA4EE"/>
    <w:lvl w:ilvl="0" w:tplc="8CD44ACE">
      <w:start w:val="1"/>
      <w:numFmt w:val="decimal"/>
      <w:lvlText w:val="%1)"/>
      <w:lvlJc w:val="left"/>
      <w:pPr>
        <w:ind w:left="1157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A"/>
    <w:rsid w:val="00153287"/>
    <w:rsid w:val="0041037A"/>
    <w:rsid w:val="004E0C6E"/>
    <w:rsid w:val="00686F90"/>
    <w:rsid w:val="00B0353B"/>
    <w:rsid w:val="00B36811"/>
    <w:rsid w:val="00BC6ECC"/>
    <w:rsid w:val="00E512EB"/>
    <w:rsid w:val="00E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9EE"/>
  <w15:chartTrackingRefBased/>
  <w15:docId w15:val="{077DB59E-4B87-4DAD-A624-E900BA63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7A"/>
    <w:pPr>
      <w:spacing w:after="0" w:line="276" w:lineRule="auto"/>
      <w:ind w:firstLine="437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37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PDP DOCUMENT SUBTITLE,Bullet1,Bullets,References,List Paragraph (numbered (a)),IBL List Paragraph,List Paragraph3"/>
    <w:basedOn w:val="Normal"/>
    <w:uiPriority w:val="34"/>
    <w:qFormat/>
    <w:rsid w:val="004103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1037A"/>
  </w:style>
  <w:style w:type="character" w:customStyle="1" w:styleId="CommentTextChar">
    <w:name w:val="Comment Text Char"/>
    <w:basedOn w:val="DefaultParagraphFont"/>
    <w:link w:val="CommentText"/>
    <w:uiPriority w:val="99"/>
    <w:rsid w:val="0041037A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Hovhannes Adajyan</cp:lastModifiedBy>
  <cp:revision>2</cp:revision>
  <dcterms:created xsi:type="dcterms:W3CDTF">2021-05-20T05:38:00Z</dcterms:created>
  <dcterms:modified xsi:type="dcterms:W3CDTF">2021-05-20T05:38:00Z</dcterms:modified>
</cp:coreProperties>
</file>