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7C" w:rsidRPr="007C1F90" w:rsidRDefault="0073217C" w:rsidP="007C1F90">
      <w:pPr>
        <w:pStyle w:val="Heading3"/>
        <w:numPr>
          <w:ilvl w:val="0"/>
          <w:numId w:val="0"/>
        </w:numPr>
        <w:jc w:val="center"/>
        <w:rPr>
          <w:rFonts w:ascii="Sylfaen" w:eastAsiaTheme="minorHAnsi" w:hAnsi="Sylfaen" w:cs="Arial"/>
          <w:bCs w:val="0"/>
          <w:color w:val="auto"/>
          <w:sz w:val="28"/>
          <w:szCs w:val="28"/>
          <w:u w:val="none"/>
        </w:rPr>
      </w:pPr>
      <w:bookmarkStart w:id="0" w:name="_GoBack"/>
      <w:bookmarkEnd w:id="0"/>
      <w:r w:rsidRPr="007C1F90">
        <w:rPr>
          <w:rFonts w:ascii="Sylfaen" w:eastAsiaTheme="minorHAnsi" w:hAnsi="Sylfaen" w:cs="Arial"/>
          <w:bCs w:val="0"/>
          <w:color w:val="auto"/>
          <w:sz w:val="28"/>
          <w:szCs w:val="28"/>
          <w:u w:val="none"/>
          <w:lang w:val="hy-AM"/>
        </w:rPr>
        <w:t>Հայտ-Դիմում</w:t>
      </w:r>
    </w:p>
    <w:p w:rsidR="0073217C" w:rsidRPr="007C1F90" w:rsidRDefault="0073217C" w:rsidP="0073217C">
      <w:pPr>
        <w:jc w:val="center"/>
        <w:rPr>
          <w:rFonts w:ascii="Sylfaen" w:hAnsi="Sylfaen" w:cs="Arial"/>
          <w:b/>
          <w:color w:val="auto"/>
          <w:sz w:val="24"/>
          <w:szCs w:val="24"/>
          <w:lang w:val="hy-AM"/>
        </w:rPr>
      </w:pPr>
      <w:r w:rsidRPr="007C1F90">
        <w:rPr>
          <w:rFonts w:ascii="Sylfaen" w:hAnsi="Sylfaen" w:cs="Arial"/>
          <w:b/>
          <w:color w:val="auto"/>
          <w:sz w:val="24"/>
          <w:szCs w:val="24"/>
          <w:lang w:val="hy-AM"/>
        </w:rPr>
        <w:t>Համայնքների Գյուղատնտեսական Ռեսուրսների Կառավարման և Մրցունակության II Ծրագիր</w:t>
      </w:r>
    </w:p>
    <w:p w:rsidR="0073217C" w:rsidRPr="007C1F90" w:rsidRDefault="0073217C" w:rsidP="0073217C">
      <w:pPr>
        <w:jc w:val="center"/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jc w:val="center"/>
        <w:rPr>
          <w:rFonts w:ascii="Sylfaen" w:hAnsi="Sylfaen" w:cs="Arial"/>
          <w:b/>
          <w:color w:val="auto"/>
          <w:lang w:val="hy-AM"/>
        </w:rPr>
      </w:pPr>
      <w:r w:rsidRPr="007C1F90">
        <w:rPr>
          <w:rFonts w:ascii="Sylfaen" w:hAnsi="Sylfaen" w:cs="Arial"/>
          <w:b/>
          <w:color w:val="auto"/>
          <w:lang w:val="hy-AM"/>
        </w:rPr>
        <w:t>Արժեշղթաների Զարգացման (ԱՇԶ) Բաղադրիչ</w:t>
      </w:r>
    </w:p>
    <w:p w:rsidR="0073217C" w:rsidRPr="007C1F90" w:rsidRDefault="0073217C" w:rsidP="0073217C">
      <w:pPr>
        <w:jc w:val="center"/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jc w:val="center"/>
        <w:rPr>
          <w:rFonts w:ascii="Sylfaen" w:hAnsi="Sylfaen" w:cs="Arial"/>
          <w:b/>
          <w:color w:val="auto"/>
          <w:lang w:val="hy-AM"/>
        </w:rPr>
      </w:pPr>
      <w:r w:rsidRPr="007C1F90">
        <w:rPr>
          <w:rFonts w:ascii="Sylfaen" w:hAnsi="Sylfaen" w:cs="Arial"/>
          <w:b/>
          <w:color w:val="auto"/>
          <w:lang w:val="hy-AM"/>
        </w:rPr>
        <w:t>Իրավասու Հայտատուի Հայտ-Դիմում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3926"/>
        <w:gridCol w:w="4971"/>
      </w:tblGrid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Ընդհանուր տեղեկություններ հայտատուի վերաբերյալ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Լրիվ անվանումը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Իրավական կարգավիճակը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Պետական ռեգիստրում գրանցման համարը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Հարկ Վճարողի Հաշվառման Համարը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Հիմնման տարեթիվը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Հիմնադիրների Ա.Ա.Հ և մասնաբաժինները</w:t>
            </w: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(Կոոպերատիվների դեպքում առանձին կցել մասնակիցների ողջ ցանկը)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 w:rsidP="004A182B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__________________________________, ________%</w:t>
            </w: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  <w:p w:rsidR="0073217C" w:rsidRPr="007C1F90" w:rsidRDefault="0073217C" w:rsidP="004A182B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__________________________________, ________%</w:t>
            </w: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  <w:p w:rsidR="0073217C" w:rsidRPr="007C1F90" w:rsidRDefault="0073217C" w:rsidP="004A182B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__________________________________, ________%</w:t>
            </w: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  <w:p w:rsidR="0073217C" w:rsidRPr="007C1F90" w:rsidRDefault="0073217C" w:rsidP="004A182B">
            <w:pPr>
              <w:pStyle w:val="ListParagraph"/>
              <w:numPr>
                <w:ilvl w:val="0"/>
                <w:numId w:val="2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__________________________________, ________%</w:t>
            </w: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Տնօրենի Ա.Ա.Հ.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Գլխավոր հաշվապահի Ա.Ա.Հ.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Իրավաբանական հասցեն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Գործունեության հասցեն(երը)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 w:rsidP="004A182B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________________________________________</w:t>
            </w:r>
          </w:p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  <w:p w:rsidR="0073217C" w:rsidRPr="007C1F90" w:rsidRDefault="0073217C" w:rsidP="004A182B">
            <w:pPr>
              <w:pStyle w:val="ListParagraph"/>
              <w:numPr>
                <w:ilvl w:val="0"/>
                <w:numId w:val="3"/>
              </w:numPr>
              <w:ind w:left="227" w:hanging="227"/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</w:pPr>
            <w:r w:rsidRPr="007C1F90">
              <w:rPr>
                <w:rFonts w:ascii="Sylfaen" w:eastAsiaTheme="minorHAnsi" w:hAnsi="Sylfaen" w:cs="Arial"/>
                <w:color w:val="auto"/>
                <w:szCs w:val="22"/>
                <w:lang w:val="hy-AM"/>
              </w:rPr>
              <w:t>________________________________________</w:t>
            </w: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Կոնտակտային հեռախոս և էլ. փոստ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Բանկի անունը և հասցեն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Բանկային հաշիվը</w:t>
            </w: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5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</w:tbl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5949"/>
        <w:gridCol w:w="2932"/>
      </w:tblGrid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Ֆինանսական տեղեկություններ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ՀՀ դրամ</w:t>
            </w: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Վերջին հարկային տարվա իրացումները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Դեռ չհարկված շահույթը վերջին հարկային տարում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Վերջին հարկային տարվա իրացումները մրգի, բանջարեղենի և սննդամթերքի արտահանումից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Վերջին հարկային տարվա իրացումները Ռուսաստան արտահանված մրգից, բանջարեղենից և սննդամթերքից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</w:tbl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5948"/>
        <w:gridCol w:w="2933"/>
      </w:tblGrid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 xml:space="preserve">Բիզնես պլանը ներդրումից հետո 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17C" w:rsidRPr="007C1F90" w:rsidRDefault="0073217C">
            <w:pPr>
              <w:jc w:val="center"/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ՀՀ դրամ</w:t>
            </w: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Ակնկալվող իրացումները մրգի, բանջարեղենի և սննդամթերքի արտահանումից՝ առաջարկվող ներդրումից 3 տարի անց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  <w:tr w:rsidR="0073217C" w:rsidRPr="007C1F90" w:rsidTr="0073217C">
        <w:tc>
          <w:tcPr>
            <w:tcW w:w="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  <w:r w:rsidRPr="007C1F90">
              <w:rPr>
                <w:rFonts w:ascii="Sylfaen" w:hAnsi="Sylfaen" w:cs="Arial"/>
                <w:color w:val="auto"/>
                <w:lang w:val="hy-AM"/>
              </w:rPr>
              <w:t>Ռուսաստան արտահանվող մրգի, բանջարեղենի և սննդամթերքի ակնկալվող իրացումները՝ առաջարկվող ներդրումից 3 տարի անց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17C" w:rsidRPr="007C1F90" w:rsidRDefault="0073217C">
            <w:pPr>
              <w:rPr>
                <w:rFonts w:ascii="Sylfaen" w:hAnsi="Sylfaen" w:cs="Arial"/>
                <w:color w:val="auto"/>
                <w:lang w:val="hy-AM"/>
              </w:rPr>
            </w:pPr>
          </w:p>
        </w:tc>
      </w:tr>
    </w:tbl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pStyle w:val="ListParagraph"/>
        <w:spacing w:line="240" w:lineRule="auto"/>
        <w:rPr>
          <w:rFonts w:ascii="Sylfaen" w:eastAsiaTheme="minorHAnsi" w:hAnsi="Sylfaen" w:cs="Arial"/>
          <w:color w:val="auto"/>
          <w:szCs w:val="22"/>
          <w:lang w:val="hy-AM"/>
        </w:rPr>
      </w:pPr>
      <w:r w:rsidRPr="007C1F90">
        <w:rPr>
          <w:rFonts w:ascii="Sylfaen" w:eastAsiaTheme="minorHAnsi" w:hAnsi="Sylfaen" w:cs="Arial"/>
          <w:color w:val="auto"/>
          <w:szCs w:val="22"/>
          <w:lang w:val="hy-AM"/>
        </w:rPr>
        <w:t>4.  Ներդրումի մանրամասները</w:t>
      </w:r>
    </w:p>
    <w:p w:rsidR="0073217C" w:rsidRPr="007C1F90" w:rsidRDefault="0073217C" w:rsidP="0073217C">
      <w:pPr>
        <w:spacing w:line="240" w:lineRule="auto"/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spacing w:line="240" w:lineRule="auto"/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Նկարագրեք, թե ինչպես առաջարկվող ներդրումը կնպաստի ներքոնշյալին՝</w:t>
      </w:r>
    </w:p>
    <w:p w:rsidR="0073217C" w:rsidRPr="007C1F90" w:rsidRDefault="0073217C" w:rsidP="007321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Theme="minorHAnsi" w:hAnsi="Sylfaen" w:cs="Arial"/>
          <w:color w:val="auto"/>
          <w:szCs w:val="22"/>
          <w:lang w:val="hy-AM"/>
        </w:rPr>
      </w:pPr>
      <w:r w:rsidRPr="007C1F90">
        <w:rPr>
          <w:rFonts w:ascii="Sylfaen" w:eastAsiaTheme="minorHAnsi" w:hAnsi="Sylfaen" w:cs="Arial"/>
          <w:color w:val="auto"/>
          <w:szCs w:val="22"/>
          <w:lang w:val="hy-AM"/>
        </w:rPr>
        <w:t>արագ վերականգնում COVID-19 համաճարակից և արտադրության ծավալների աճ</w:t>
      </w:r>
    </w:p>
    <w:p w:rsidR="0073217C" w:rsidRPr="007C1F90" w:rsidRDefault="0073217C" w:rsidP="007321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Theme="minorHAnsi" w:hAnsi="Sylfaen" w:cs="Arial"/>
          <w:color w:val="auto"/>
          <w:szCs w:val="22"/>
          <w:lang w:val="hy-AM"/>
        </w:rPr>
      </w:pPr>
      <w:r w:rsidRPr="007C1F90">
        <w:rPr>
          <w:rFonts w:ascii="Sylfaen" w:eastAsiaTheme="minorHAnsi" w:hAnsi="Sylfaen" w:cs="Arial"/>
          <w:color w:val="auto"/>
          <w:szCs w:val="22"/>
          <w:lang w:val="hy-AM"/>
        </w:rPr>
        <w:t xml:space="preserve">մուտք դեպի այլ և ավելի եկամտաբեր շուկաներ  </w:t>
      </w:r>
    </w:p>
    <w:p w:rsidR="0073217C" w:rsidRPr="007C1F90" w:rsidRDefault="0073217C" w:rsidP="007321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Theme="minorHAnsi" w:hAnsi="Sylfaen" w:cs="Arial"/>
          <w:color w:val="auto"/>
          <w:szCs w:val="22"/>
          <w:lang w:val="hy-AM"/>
        </w:rPr>
      </w:pPr>
      <w:r w:rsidRPr="007C1F90">
        <w:rPr>
          <w:rFonts w:ascii="Sylfaen" w:eastAsiaTheme="minorHAnsi" w:hAnsi="Sylfaen" w:cs="Arial"/>
          <w:color w:val="auto"/>
          <w:szCs w:val="22"/>
          <w:lang w:val="hy-AM"/>
        </w:rPr>
        <w:t>կատարելագործված մրցունակություն</w:t>
      </w:r>
    </w:p>
    <w:p w:rsidR="0073217C" w:rsidRPr="007C1F90" w:rsidRDefault="0073217C" w:rsidP="0073217C">
      <w:pPr>
        <w:spacing w:line="240" w:lineRule="auto"/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Առավելագույնը 3 էջ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 xml:space="preserve">Նկարագրեք ներդրումից հետո արտահանման համար առաջացած սառը շղթայի ցանկացած բաց կետ։ Ի՞նչ մոտեցում է պետք ձեռնարկել այդ բացերը լրացնելու համար։   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Առավելագույնը 1 էջ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 xml:space="preserve">Ո՞ր շուկաները կհանդիսանան թիրախային արտահանողների համար։ 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 xml:space="preserve">Գնահատեք վաճառքի ծավալները ըստ ապրանքի և մատակարարման շուկայի՝ ներդրումից հետո 3 տարվա համար։ 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 xml:space="preserve">Գնահատեք վաճառքի գինը 1 տոննայի համար՝ ըստ ապրանքի, յուրաքանչյուր թիրախ շուկայի համար։ 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Հայաստանում տիրող սննդի անվտանգության և սանիտարական դրույթները թույլ կտա՞ն մուտքը թիրախ շուկաներ։ Եթե ոչ, ինչ միջոցներ պետք է ձեռնարկի հայտատուն՝ մուտքը թիրախ շուկաներ հեշտացնելու համար։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Գործադիր տնօրեն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___________________________________________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</w:r>
      <w:r w:rsidRPr="007C1F90">
        <w:rPr>
          <w:rFonts w:ascii="Sylfaen" w:hAnsi="Sylfaen" w:cs="Arial"/>
          <w:color w:val="auto"/>
          <w:lang w:val="hy-AM"/>
        </w:rPr>
        <w:tab/>
        <w:t>(ստորագրություն)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  <w:r w:rsidRPr="007C1F90">
        <w:rPr>
          <w:rFonts w:ascii="Sylfaen" w:hAnsi="Sylfaen" w:cs="Arial"/>
          <w:color w:val="auto"/>
          <w:lang w:val="hy-AM"/>
        </w:rPr>
        <w:t>Օր/Ամիս/Տարի</w:t>
      </w:r>
    </w:p>
    <w:p w:rsidR="0073217C" w:rsidRPr="007C1F90" w:rsidRDefault="0073217C" w:rsidP="0073217C">
      <w:pPr>
        <w:rPr>
          <w:rFonts w:ascii="Sylfaen" w:hAnsi="Sylfaen" w:cs="Arial"/>
          <w:color w:val="auto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FF0000"/>
          <w:szCs w:val="20"/>
          <w:lang w:val="hy-AM"/>
        </w:rPr>
      </w:pPr>
    </w:p>
    <w:p w:rsidR="0073217C" w:rsidRPr="007C1F90" w:rsidRDefault="0073217C" w:rsidP="0073217C">
      <w:pPr>
        <w:rPr>
          <w:rFonts w:ascii="Sylfaen" w:hAnsi="Sylfaen" w:cs="Arial"/>
          <w:color w:val="FF0000"/>
          <w:szCs w:val="20"/>
          <w:lang w:val="hy-AM"/>
        </w:rPr>
      </w:pPr>
    </w:p>
    <w:p w:rsidR="00710F8F" w:rsidRPr="007C1F90" w:rsidRDefault="004F127A">
      <w:pPr>
        <w:rPr>
          <w:rFonts w:ascii="Sylfaen" w:hAnsi="Sylfaen" w:cs="Arial"/>
          <w:lang w:val="hy-AM"/>
        </w:rPr>
      </w:pPr>
    </w:p>
    <w:sectPr w:rsidR="00710F8F" w:rsidRPr="007C1F90" w:rsidSect="0077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65B"/>
    <w:multiLevelType w:val="hybridMultilevel"/>
    <w:tmpl w:val="3568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D3DDD"/>
    <w:multiLevelType w:val="multilevel"/>
    <w:tmpl w:val="792E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5" w:hanging="525"/>
      </w:pPr>
    </w:lvl>
    <w:lvl w:ilvl="2">
      <w:start w:val="13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E9558DA"/>
    <w:multiLevelType w:val="hybridMultilevel"/>
    <w:tmpl w:val="CB841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58A1"/>
    <w:multiLevelType w:val="multilevel"/>
    <w:tmpl w:val="323CB664"/>
    <w:lvl w:ilvl="0">
      <w:start w:val="1"/>
      <w:numFmt w:val="decimal"/>
      <w:pStyle w:val="Heading1"/>
      <w:lvlText w:val="%1"/>
      <w:lvlJc w:val="left"/>
      <w:pPr>
        <w:ind w:left="6245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CC"/>
    <w:rsid w:val="003D40B5"/>
    <w:rsid w:val="004F127A"/>
    <w:rsid w:val="00561ACC"/>
    <w:rsid w:val="0073217C"/>
    <w:rsid w:val="00770EFE"/>
    <w:rsid w:val="007C1F90"/>
    <w:rsid w:val="00A7634E"/>
    <w:rsid w:val="00CB03B1"/>
    <w:rsid w:val="00EB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74988-2D49-410D-807C-787FE72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17C"/>
    <w:pPr>
      <w:spacing w:after="0"/>
      <w:jc w:val="both"/>
    </w:pPr>
    <w:rPr>
      <w:rFonts w:ascii="GHEA Grapalat" w:hAnsi="GHEA Grapalat"/>
      <w:color w:val="0D0D0D" w:themeColor="text1" w:themeTint="F2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17C"/>
    <w:pPr>
      <w:keepNext/>
      <w:keepLines/>
      <w:numPr>
        <w:numId w:val="1"/>
      </w:numPr>
      <w:spacing w:before="120" w:after="12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73217C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 w:cstheme="majorBidi"/>
      <w:b/>
      <w:bCs/>
      <w:smallCaps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73217C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b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73217C"/>
    <w:pPr>
      <w:keepNext/>
      <w:keepLines/>
      <w:numPr>
        <w:ilvl w:val="3"/>
        <w:numId w:val="1"/>
      </w:numPr>
      <w:spacing w:before="240" w:after="120"/>
      <w:outlineLvl w:val="3"/>
    </w:pPr>
    <w:rPr>
      <w:rFonts w:eastAsiaTheme="majorEastAsia" w:cstheme="majorBidi"/>
      <w:bCs/>
      <w:i/>
      <w:iCs/>
      <w:color w:val="auto"/>
    </w:rPr>
  </w:style>
  <w:style w:type="paragraph" w:styleId="Heading5">
    <w:name w:val="heading 5"/>
    <w:aliases w:val="Side,NEA5,(Boxes)"/>
    <w:basedOn w:val="Normal"/>
    <w:next w:val="Normal"/>
    <w:link w:val="Heading5Char"/>
    <w:uiPriority w:val="99"/>
    <w:semiHidden/>
    <w:unhideWhenUsed/>
    <w:qFormat/>
    <w:rsid w:val="0073217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73217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73217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73217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73217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17C"/>
    <w:rPr>
      <w:rFonts w:ascii="GHEA Grapalat" w:eastAsiaTheme="majorEastAsia" w:hAnsi="GHEA Grapalat" w:cstheme="majorBidi"/>
      <w:b/>
      <w:bCs/>
      <w:smallCaps/>
      <w:color w:val="0D0D0D" w:themeColor="text1" w:themeTint="F2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3217C"/>
    <w:rPr>
      <w:rFonts w:ascii="GHEA Grapalat" w:eastAsiaTheme="majorEastAsia" w:hAnsi="GHEA Grapalat" w:cstheme="majorBidi"/>
      <w:b/>
      <w:bCs/>
      <w:smallCaps/>
      <w:color w:val="0D0D0D" w:themeColor="text1" w:themeTint="F2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3217C"/>
    <w:rPr>
      <w:rFonts w:ascii="GHEA Grapalat" w:eastAsiaTheme="majorEastAsia" w:hAnsi="GHEA Grapalat" w:cstheme="majorBidi"/>
      <w:b/>
      <w:bCs/>
      <w:color w:val="262626" w:themeColor="text1" w:themeTint="D9"/>
      <w:sz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3217C"/>
    <w:rPr>
      <w:rFonts w:ascii="GHEA Grapalat" w:eastAsiaTheme="majorEastAsia" w:hAnsi="GHEA Grapalat" w:cstheme="majorBidi"/>
      <w:bCs/>
      <w:i/>
      <w:iCs/>
      <w:sz w:val="20"/>
    </w:rPr>
  </w:style>
  <w:style w:type="character" w:customStyle="1" w:styleId="Heading5Char">
    <w:name w:val="Heading 5 Char"/>
    <w:aliases w:val="Side Char,NEA5 Char,(Boxes) Char"/>
    <w:basedOn w:val="DefaultParagraphFont"/>
    <w:link w:val="Heading5"/>
    <w:uiPriority w:val="99"/>
    <w:semiHidden/>
    <w:rsid w:val="0073217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3217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3217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321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321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References Char,List Paragraph (numbered (a)) Char,IBL List Paragraph Char,Bullet1 Char"/>
    <w:link w:val="ListParagraph"/>
    <w:uiPriority w:val="34"/>
    <w:locked/>
    <w:rsid w:val="0073217C"/>
    <w:rPr>
      <w:rFonts w:ascii="GHEA Grapalat" w:eastAsia="Times New Roman" w:hAnsi="GHEA Grapalat" w:cs="Times New Roman"/>
      <w:color w:val="0D0D0D" w:themeColor="text1" w:themeTint="F2"/>
      <w:sz w:val="20"/>
      <w:szCs w:val="24"/>
    </w:rPr>
  </w:style>
  <w:style w:type="paragraph" w:styleId="ListParagraph">
    <w:name w:val="List Paragraph"/>
    <w:aliases w:val="List_Paragraph,Multilevel para_II,List Paragraph1,List Paragraph-ExecSummary,Akapit z listą BS,List Paragraph 1,References,List Paragraph (numbered (a)),IBL List Paragraph,List Paragraph nowy,Numbered List Paragraph,Bullet1"/>
    <w:basedOn w:val="Normal"/>
    <w:link w:val="ListParagraphChar"/>
    <w:uiPriority w:val="34"/>
    <w:qFormat/>
    <w:rsid w:val="0073217C"/>
    <w:pPr>
      <w:ind w:left="72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732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Simonyan</dc:creator>
  <cp:lastModifiedBy>Anahit A. Khechoyan</cp:lastModifiedBy>
  <cp:revision>2</cp:revision>
  <dcterms:created xsi:type="dcterms:W3CDTF">2020-08-18T11:30:00Z</dcterms:created>
  <dcterms:modified xsi:type="dcterms:W3CDTF">2020-08-18T11:30:00Z</dcterms:modified>
</cp:coreProperties>
</file>